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07F913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009B18FD">
        <w:rPr>
          <w:rFonts w:cs="Arial"/>
          <w:sz w:val="24"/>
          <w:szCs w:val="24"/>
        </w:rPr>
        <w:t>-B</w:t>
      </w:r>
      <w:r w:rsidR="00C51EC1">
        <w:rPr>
          <w:rFonts w:cs="Arial"/>
          <w:sz w:val="24"/>
          <w:szCs w:val="24"/>
        </w:rPr>
        <w:t>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9B18FD">
        <w:rPr>
          <w:rFonts w:cs="Arial"/>
          <w:color w:val="000000"/>
          <w:sz w:val="24"/>
          <w:szCs w:val="24"/>
        </w:rPr>
        <w:t>03288</w:t>
      </w:r>
    </w:p>
    <w:p w14:paraId="2700B07E" w14:textId="22D126BA" w:rsidR="003175E3" w:rsidRPr="00C51EC1" w:rsidRDefault="00C51EC1" w:rsidP="003175E3">
      <w:pPr>
        <w:pStyle w:val="Header"/>
        <w:rPr>
          <w:rFonts w:eastAsia="SimSun"/>
          <w:sz w:val="24"/>
          <w:szCs w:val="24"/>
          <w:lang w:eastAsia="zh-CN"/>
        </w:rPr>
      </w:pPr>
      <w:r>
        <w:rPr>
          <w:rFonts w:eastAsia="SimSun"/>
          <w:sz w:val="24"/>
          <w:szCs w:val="24"/>
          <w:lang w:eastAsia="zh-CN"/>
        </w:rPr>
        <w:t>Xi’an, China</w:t>
      </w:r>
      <w:r w:rsidR="003175E3" w:rsidRPr="002E7CB7">
        <w:rPr>
          <w:rFonts w:eastAsia="SimSun"/>
          <w:sz w:val="24"/>
          <w:szCs w:val="24"/>
          <w:lang w:eastAsia="zh-CN"/>
        </w:rPr>
        <w:t xml:space="preserve">, </w:t>
      </w:r>
      <w:r>
        <w:rPr>
          <w:rFonts w:eastAsia="SimSun"/>
          <w:sz w:val="24"/>
          <w:szCs w:val="24"/>
          <w:lang w:eastAsia="zh-CN"/>
        </w:rPr>
        <w:t>8 – 12 April</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236E10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D4DD5">
        <w:rPr>
          <w:rFonts w:ascii="Arial" w:hAnsi="Arial"/>
          <w:sz w:val="24"/>
          <w:lang w:val="en-US"/>
        </w:rPr>
        <w:t>8.3.1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4DA214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51EC1">
        <w:rPr>
          <w:rFonts w:ascii="Arial" w:hAnsi="Arial"/>
          <w:sz w:val="24"/>
          <w:lang w:val="en-US"/>
        </w:rPr>
        <w:t xml:space="preserve">On </w:t>
      </w:r>
      <w:r w:rsidR="00111DA9">
        <w:rPr>
          <w:rFonts w:ascii="Arial" w:hAnsi="Arial"/>
          <w:sz w:val="24"/>
          <w:lang w:val="en-US"/>
        </w:rPr>
        <w:t>simultaneous connectivity to source and target cells for NR mobility enhancements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574512C0" w14:textId="5D4CFBF1" w:rsidR="00C51EC1" w:rsidRDefault="00C24913" w:rsidP="00C51EC1">
      <w:pPr>
        <w:rPr>
          <w:lang w:val="en-US"/>
        </w:rPr>
      </w:pPr>
      <w:r>
        <w:rPr>
          <w:lang w:val="en-US"/>
        </w:rPr>
        <w:t>In the RAN4</w:t>
      </w:r>
      <w:r w:rsidR="00131E99">
        <w:rPr>
          <w:lang w:val="en-US"/>
        </w:rPr>
        <w:t>#90</w:t>
      </w:r>
      <w:r>
        <w:rPr>
          <w:lang w:val="en-US"/>
        </w:rPr>
        <w:t xml:space="preserve"> meeting, a Way Forward was agreed </w:t>
      </w:r>
      <w:r w:rsidR="00111DA9">
        <w:rPr>
          <w:lang w:val="en-US"/>
        </w:rPr>
        <w:t>for R16 NR mobility enhancements with the following agreement [1]:</w:t>
      </w:r>
    </w:p>
    <w:p w14:paraId="2303C7CE" w14:textId="108418B6" w:rsidR="00C24913" w:rsidRDefault="00C24913" w:rsidP="00C51EC1">
      <w:pPr>
        <w:rPr>
          <w:lang w:val="en-US"/>
        </w:rPr>
      </w:pPr>
      <w:r w:rsidRPr="0074147F">
        <w:rPr>
          <w:noProof/>
          <w:lang w:val="en-US" w:eastAsia="zh-CN"/>
        </w:rPr>
        <mc:AlternateContent>
          <mc:Choice Requires="wps">
            <w:drawing>
              <wp:inline distT="0" distB="0" distL="0" distR="0" wp14:anchorId="79EDB92F" wp14:editId="76C8CD97">
                <wp:extent cx="5881420" cy="1250899"/>
                <wp:effectExtent l="0" t="0" r="2413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50899"/>
                        </a:xfrm>
                        <a:prstGeom prst="rect">
                          <a:avLst/>
                        </a:prstGeom>
                        <a:solidFill>
                          <a:srgbClr val="FFFFFF"/>
                        </a:solidFill>
                        <a:ln w="9525">
                          <a:solidFill>
                            <a:srgbClr val="000000"/>
                          </a:solidFill>
                          <a:miter lim="800000"/>
                          <a:headEnd/>
                          <a:tailEnd/>
                        </a:ln>
                      </wps:spPr>
                      <wps:txbx>
                        <w:txbxContent>
                          <w:p w14:paraId="4891B40E" w14:textId="7F251078" w:rsidR="00C24913" w:rsidRDefault="00111DA9" w:rsidP="00111DA9">
                            <w:pPr>
                              <w:jc w:val="center"/>
                              <w:rPr>
                                <w:bCs/>
                                <w:lang w:val="en-US"/>
                              </w:rPr>
                            </w:pPr>
                            <w:r>
                              <w:rPr>
                                <w:bCs/>
                                <w:lang w:val="en-US"/>
                              </w:rPr>
                              <w:t>Agreement on Handover/SCG change with simultaneous connectivity with source and target cell</w:t>
                            </w:r>
                          </w:p>
                          <w:p w14:paraId="4BF5D34A" w14:textId="62F39707" w:rsidR="00111DA9" w:rsidRDefault="00111DA9" w:rsidP="00111DA9">
                            <w:pPr>
                              <w:pStyle w:val="ListParagraph"/>
                              <w:numPr>
                                <w:ilvl w:val="0"/>
                                <w:numId w:val="11"/>
                              </w:numPr>
                              <w:rPr>
                                <w:sz w:val="18"/>
                                <w:szCs w:val="18"/>
                              </w:rPr>
                            </w:pPr>
                            <w:r>
                              <w:rPr>
                                <w:sz w:val="18"/>
                                <w:szCs w:val="18"/>
                              </w:rPr>
                              <w:t>RAN4 to study the feasibility of simultaneous connectivity to both serving and target NR cells in different scenarios</w:t>
                            </w:r>
                          </w:p>
                          <w:p w14:paraId="35F5DC5B" w14:textId="4FA6717A" w:rsidR="00111DA9" w:rsidRDefault="00111DA9" w:rsidP="00111DA9">
                            <w:pPr>
                              <w:pStyle w:val="ListParagraph"/>
                              <w:numPr>
                                <w:ilvl w:val="1"/>
                                <w:numId w:val="11"/>
                              </w:numPr>
                              <w:rPr>
                                <w:sz w:val="18"/>
                                <w:szCs w:val="18"/>
                              </w:rPr>
                            </w:pPr>
                            <w:r>
                              <w:rPr>
                                <w:sz w:val="18"/>
                                <w:szCs w:val="18"/>
                              </w:rPr>
                              <w:t xml:space="preserve">RAN4 response in LS (R4-1902030) in R16 LTE </w:t>
                            </w:r>
                            <w:proofErr w:type="spellStart"/>
                            <w:r>
                              <w:rPr>
                                <w:sz w:val="18"/>
                                <w:szCs w:val="18"/>
                              </w:rPr>
                              <w:t>FeMobility</w:t>
                            </w:r>
                            <w:proofErr w:type="spellEnd"/>
                            <w:r>
                              <w:rPr>
                                <w:sz w:val="18"/>
                                <w:szCs w:val="18"/>
                              </w:rPr>
                              <w:t xml:space="preserve"> WI can be used as a starting point</w:t>
                            </w:r>
                          </w:p>
                          <w:p w14:paraId="3F5C2EEF" w14:textId="457F92E1" w:rsidR="00111DA9" w:rsidRDefault="00111DA9" w:rsidP="00111DA9">
                            <w:pPr>
                              <w:pStyle w:val="ListParagraph"/>
                              <w:numPr>
                                <w:ilvl w:val="1"/>
                                <w:numId w:val="11"/>
                              </w:numPr>
                              <w:rPr>
                                <w:sz w:val="18"/>
                                <w:szCs w:val="18"/>
                              </w:rPr>
                            </w:pPr>
                            <w:r>
                              <w:rPr>
                                <w:sz w:val="18"/>
                                <w:szCs w:val="18"/>
                              </w:rPr>
                              <w:t>On top of response in LS (R4-1902030) at least the following additional aspects shall be considered:</w:t>
                            </w:r>
                          </w:p>
                          <w:p w14:paraId="4A328938" w14:textId="687485E5" w:rsidR="00111DA9" w:rsidRDefault="00111DA9" w:rsidP="00111DA9">
                            <w:pPr>
                              <w:pStyle w:val="ListParagraph"/>
                              <w:numPr>
                                <w:ilvl w:val="2"/>
                                <w:numId w:val="11"/>
                              </w:numPr>
                              <w:rPr>
                                <w:sz w:val="18"/>
                                <w:szCs w:val="18"/>
                              </w:rPr>
                            </w:pPr>
                            <w:r>
                              <w:rPr>
                                <w:sz w:val="18"/>
                                <w:szCs w:val="18"/>
                              </w:rPr>
                              <w:t>Same of different SCS between the source and target cells</w:t>
                            </w:r>
                          </w:p>
                          <w:p w14:paraId="5941853F" w14:textId="16744604" w:rsidR="00111DA9" w:rsidRPr="00111DA9" w:rsidRDefault="00111DA9" w:rsidP="00111DA9">
                            <w:pPr>
                              <w:pStyle w:val="ListParagraph"/>
                              <w:numPr>
                                <w:ilvl w:val="2"/>
                                <w:numId w:val="11"/>
                              </w:numPr>
                              <w:rPr>
                                <w:sz w:val="18"/>
                                <w:szCs w:val="18"/>
                              </w:rPr>
                            </w:pPr>
                            <w:r>
                              <w:rPr>
                                <w:sz w:val="18"/>
                                <w:szCs w:val="18"/>
                              </w:rPr>
                              <w:t>Handover involving cell(s) in FR2, where Tx/Rx beamforming is used</w:t>
                            </w:r>
                          </w:p>
                        </w:txbxContent>
                      </wps:txbx>
                      <wps:bodyPr rot="0" vert="horz" wrap="square" lIns="91440" tIns="45720" rIns="91440" bIns="45720" anchor="t" anchorCtr="0">
                        <a:noAutofit/>
                      </wps:bodyPr>
                    </wps:wsp>
                  </a:graphicData>
                </a:graphic>
              </wp:inline>
            </w:drawing>
          </mc:Choice>
          <mc:Fallback>
            <w:pict>
              <v:shapetype w14:anchorId="79EDB92F" id="_x0000_t202" coordsize="21600,21600" o:spt="202" path="m,l,21600r21600,l21600,xe">
                <v:stroke joinstyle="miter"/>
                <v:path gradientshapeok="t" o:connecttype="rect"/>
              </v:shapetype>
              <v:shape id="Text Box 2" o:spid="_x0000_s1026" type="#_x0000_t202" style="width:463.1pt;height: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">
                <v:textbox>
                  <w:txbxContent>
                    <w:p w14:paraId="4891B40E" w14:textId="7F251078" w:rsidR="00C24913" w:rsidRDefault="00111DA9" w:rsidP="00111DA9">
                      <w:pPr>
                        <w:jc w:val="center"/>
                        <w:rPr>
                          <w:bCs/>
                          <w:lang w:val="en-US"/>
                        </w:rPr>
                      </w:pPr>
                      <w:r>
                        <w:rPr>
                          <w:bCs/>
                          <w:lang w:val="en-US"/>
                        </w:rPr>
                        <w:t>Agreement on Handover/SCG change with simultaneous connectivity with source and target cell</w:t>
                      </w:r>
                    </w:p>
                    <w:p w14:paraId="4BF5D34A" w14:textId="62F39707" w:rsidR="00111DA9" w:rsidRDefault="00111DA9" w:rsidP="00111DA9">
                      <w:pPr>
                        <w:pStyle w:val="ListParagraph"/>
                        <w:numPr>
                          <w:ilvl w:val="0"/>
                          <w:numId w:val="11"/>
                        </w:numPr>
                        <w:rPr>
                          <w:sz w:val="18"/>
                          <w:szCs w:val="18"/>
                        </w:rPr>
                      </w:pPr>
                      <w:r>
                        <w:rPr>
                          <w:sz w:val="18"/>
                          <w:szCs w:val="18"/>
                        </w:rPr>
                        <w:t>RAN4 to study the feasibility of simultaneous connectivity to both serving and target NR cells in different scenarios</w:t>
                      </w:r>
                    </w:p>
                    <w:p w14:paraId="35F5DC5B" w14:textId="4FA6717A" w:rsidR="00111DA9" w:rsidRDefault="00111DA9" w:rsidP="00111DA9">
                      <w:pPr>
                        <w:pStyle w:val="ListParagraph"/>
                        <w:numPr>
                          <w:ilvl w:val="1"/>
                          <w:numId w:val="11"/>
                        </w:numPr>
                        <w:rPr>
                          <w:sz w:val="18"/>
                          <w:szCs w:val="18"/>
                        </w:rPr>
                      </w:pPr>
                      <w:r>
                        <w:rPr>
                          <w:sz w:val="18"/>
                          <w:szCs w:val="18"/>
                        </w:rPr>
                        <w:t xml:space="preserve">RAN4 response in LS (R4-1902030) in R16 LTE </w:t>
                      </w:r>
                      <w:proofErr w:type="spellStart"/>
                      <w:r>
                        <w:rPr>
                          <w:sz w:val="18"/>
                          <w:szCs w:val="18"/>
                        </w:rPr>
                        <w:t>FeMobility</w:t>
                      </w:r>
                      <w:proofErr w:type="spellEnd"/>
                      <w:r>
                        <w:rPr>
                          <w:sz w:val="18"/>
                          <w:szCs w:val="18"/>
                        </w:rPr>
                        <w:t xml:space="preserve"> WI can be used as a starting point</w:t>
                      </w:r>
                    </w:p>
                    <w:p w14:paraId="3F5C2EEF" w14:textId="457F92E1" w:rsidR="00111DA9" w:rsidRDefault="00111DA9" w:rsidP="00111DA9">
                      <w:pPr>
                        <w:pStyle w:val="ListParagraph"/>
                        <w:numPr>
                          <w:ilvl w:val="1"/>
                          <w:numId w:val="11"/>
                        </w:numPr>
                        <w:rPr>
                          <w:sz w:val="18"/>
                          <w:szCs w:val="18"/>
                        </w:rPr>
                      </w:pPr>
                      <w:r>
                        <w:rPr>
                          <w:sz w:val="18"/>
                          <w:szCs w:val="18"/>
                        </w:rPr>
                        <w:t>On top of response in LS (R4-1902030) at least the following additional aspects shall be considered:</w:t>
                      </w:r>
                    </w:p>
                    <w:p w14:paraId="4A328938" w14:textId="687485E5" w:rsidR="00111DA9" w:rsidRDefault="00111DA9" w:rsidP="00111DA9">
                      <w:pPr>
                        <w:pStyle w:val="ListParagraph"/>
                        <w:numPr>
                          <w:ilvl w:val="2"/>
                          <w:numId w:val="11"/>
                        </w:numPr>
                        <w:rPr>
                          <w:sz w:val="18"/>
                          <w:szCs w:val="18"/>
                        </w:rPr>
                      </w:pPr>
                      <w:r>
                        <w:rPr>
                          <w:sz w:val="18"/>
                          <w:szCs w:val="18"/>
                        </w:rPr>
                        <w:t>Same of different SCS between the source and target cells</w:t>
                      </w:r>
                    </w:p>
                    <w:p w14:paraId="5941853F" w14:textId="16744604" w:rsidR="00111DA9" w:rsidRPr="00111DA9" w:rsidRDefault="00111DA9" w:rsidP="00111DA9">
                      <w:pPr>
                        <w:pStyle w:val="ListParagraph"/>
                        <w:numPr>
                          <w:ilvl w:val="2"/>
                          <w:numId w:val="11"/>
                        </w:numPr>
                        <w:rPr>
                          <w:sz w:val="18"/>
                          <w:szCs w:val="18"/>
                        </w:rPr>
                      </w:pPr>
                      <w:r>
                        <w:rPr>
                          <w:sz w:val="18"/>
                          <w:szCs w:val="18"/>
                        </w:rPr>
                        <w:t>Handover involving cell(s) in FR2, where Tx/Rx beamforming is used</w:t>
                      </w:r>
                    </w:p>
                  </w:txbxContent>
                </v:textbox>
                <w10:anchorlock/>
              </v:shape>
            </w:pict>
          </mc:Fallback>
        </mc:AlternateContent>
      </w:r>
    </w:p>
    <w:p w14:paraId="36B4C586" w14:textId="4CEB8716" w:rsidR="00C24913" w:rsidRPr="00C51EC1" w:rsidRDefault="00C24913" w:rsidP="00C51EC1">
      <w:pPr>
        <w:rPr>
          <w:lang w:val="en-US"/>
        </w:rPr>
      </w:pPr>
      <w:r>
        <w:rPr>
          <w:lang w:val="en-US"/>
        </w:rPr>
        <w:t xml:space="preserve">In this paper, we </w:t>
      </w:r>
      <w:r w:rsidR="00111DA9">
        <w:rPr>
          <w:lang w:val="en-US"/>
        </w:rPr>
        <w:t>present our views on simultaneous connectivity to serving and target NR cells in different scenarios.</w:t>
      </w:r>
    </w:p>
    <w:p w14:paraId="1E028E7C" w14:textId="261F86B8" w:rsidR="00EE7592" w:rsidRDefault="00C51EC1" w:rsidP="00EE7592">
      <w:pPr>
        <w:pStyle w:val="Heading1"/>
        <w:rPr>
          <w:lang w:val="en-US"/>
        </w:rPr>
      </w:pPr>
      <w:r>
        <w:rPr>
          <w:lang w:val="en-US"/>
        </w:rPr>
        <w:t>Discussion</w:t>
      </w:r>
    </w:p>
    <w:p w14:paraId="2713C2AE" w14:textId="08B801E4" w:rsidR="0025624A" w:rsidRPr="0025624A" w:rsidRDefault="0025624A" w:rsidP="0025624A">
      <w:r w:rsidRPr="0025624A">
        <w:t xml:space="preserve">The following NR PHY aspects ask for </w:t>
      </w:r>
      <w:r>
        <w:t>further</w:t>
      </w:r>
      <w:r w:rsidRPr="0025624A">
        <w:t xml:space="preserve"> considerations on the feasibility of simultaneous connectivity with source and target cell</w:t>
      </w:r>
      <w:r>
        <w:t>s</w:t>
      </w:r>
      <w:r w:rsidRPr="0025624A">
        <w:t xml:space="preserve"> </w:t>
      </w:r>
      <w:r>
        <w:t>compared to</w:t>
      </w:r>
      <w:r w:rsidRPr="0025624A">
        <w:t xml:space="preserve"> LTE:</w:t>
      </w:r>
    </w:p>
    <w:p w14:paraId="3C2053DE" w14:textId="77777777" w:rsidR="0025624A" w:rsidRPr="0025624A" w:rsidRDefault="0025624A" w:rsidP="0025624A">
      <w:pPr>
        <w:pStyle w:val="ListParagraph"/>
        <w:numPr>
          <w:ilvl w:val="0"/>
          <w:numId w:val="16"/>
        </w:numPr>
        <w:overflowPunct w:val="0"/>
        <w:autoSpaceDE w:val="0"/>
        <w:autoSpaceDN w:val="0"/>
        <w:adjustRightInd w:val="0"/>
        <w:spacing w:after="180"/>
        <w:textAlignment w:val="baseline"/>
        <w:rPr>
          <w:sz w:val="20"/>
          <w:szCs w:val="20"/>
        </w:rPr>
      </w:pPr>
      <w:r w:rsidRPr="0025624A">
        <w:rPr>
          <w:sz w:val="20"/>
          <w:szCs w:val="20"/>
        </w:rPr>
        <w:t>Flexible numerology</w:t>
      </w:r>
    </w:p>
    <w:p w14:paraId="3F3E5081" w14:textId="77777777" w:rsidR="0025624A" w:rsidRPr="0025624A" w:rsidRDefault="0025624A" w:rsidP="0025624A">
      <w:pPr>
        <w:pStyle w:val="ListParagraph"/>
        <w:numPr>
          <w:ilvl w:val="0"/>
          <w:numId w:val="16"/>
        </w:numPr>
        <w:overflowPunct w:val="0"/>
        <w:autoSpaceDE w:val="0"/>
        <w:autoSpaceDN w:val="0"/>
        <w:adjustRightInd w:val="0"/>
        <w:spacing w:after="180"/>
        <w:textAlignment w:val="baseline"/>
        <w:rPr>
          <w:sz w:val="20"/>
          <w:szCs w:val="20"/>
        </w:rPr>
      </w:pPr>
      <w:r w:rsidRPr="0025624A">
        <w:rPr>
          <w:sz w:val="20"/>
          <w:szCs w:val="20"/>
        </w:rPr>
        <w:t>Two uplink waveforms (CP-OFDM and SC-OFDM)</w:t>
      </w:r>
    </w:p>
    <w:p w14:paraId="54A32B12" w14:textId="77777777" w:rsidR="0025624A" w:rsidRPr="0025624A" w:rsidRDefault="0025624A" w:rsidP="0025624A">
      <w:pPr>
        <w:pStyle w:val="ListParagraph"/>
        <w:numPr>
          <w:ilvl w:val="0"/>
          <w:numId w:val="16"/>
        </w:numPr>
        <w:overflowPunct w:val="0"/>
        <w:autoSpaceDE w:val="0"/>
        <w:autoSpaceDN w:val="0"/>
        <w:adjustRightInd w:val="0"/>
        <w:spacing w:after="180"/>
        <w:textAlignment w:val="baseline"/>
        <w:rPr>
          <w:sz w:val="20"/>
          <w:szCs w:val="20"/>
        </w:rPr>
      </w:pPr>
      <w:r w:rsidRPr="0025624A">
        <w:rPr>
          <w:sz w:val="20"/>
          <w:szCs w:val="20"/>
        </w:rPr>
        <w:t xml:space="preserve">Bandwidth part (BWP) </w:t>
      </w:r>
    </w:p>
    <w:p w14:paraId="12B832F3" w14:textId="77777777" w:rsidR="0025624A" w:rsidRPr="0025624A" w:rsidRDefault="0025624A" w:rsidP="0025624A">
      <w:pPr>
        <w:pStyle w:val="ListParagraph"/>
        <w:numPr>
          <w:ilvl w:val="0"/>
          <w:numId w:val="16"/>
        </w:numPr>
        <w:overflowPunct w:val="0"/>
        <w:autoSpaceDE w:val="0"/>
        <w:autoSpaceDN w:val="0"/>
        <w:adjustRightInd w:val="0"/>
        <w:spacing w:after="180"/>
        <w:textAlignment w:val="baseline"/>
        <w:rPr>
          <w:sz w:val="20"/>
          <w:szCs w:val="20"/>
        </w:rPr>
      </w:pPr>
      <w:r w:rsidRPr="0025624A">
        <w:rPr>
          <w:sz w:val="20"/>
          <w:szCs w:val="20"/>
        </w:rPr>
        <w:t>Multi-beam</w:t>
      </w:r>
    </w:p>
    <w:p w14:paraId="2280178A" w14:textId="7E1DEB9E" w:rsidR="0025624A" w:rsidRPr="00D737C4" w:rsidRDefault="0025624A" w:rsidP="0025624A">
      <w:pPr>
        <w:pStyle w:val="ListParagraph"/>
        <w:numPr>
          <w:ilvl w:val="0"/>
          <w:numId w:val="16"/>
        </w:numPr>
        <w:overflowPunct w:val="0"/>
        <w:autoSpaceDE w:val="0"/>
        <w:autoSpaceDN w:val="0"/>
        <w:adjustRightInd w:val="0"/>
        <w:spacing w:after="180"/>
        <w:textAlignment w:val="baseline"/>
        <w:rPr>
          <w:sz w:val="20"/>
          <w:szCs w:val="20"/>
        </w:rPr>
      </w:pPr>
      <w:r w:rsidRPr="0025624A">
        <w:rPr>
          <w:sz w:val="20"/>
          <w:szCs w:val="20"/>
        </w:rPr>
        <w:t>Multi-TRP</w:t>
      </w:r>
    </w:p>
    <w:p w14:paraId="5DC36FBA" w14:textId="2A38D328" w:rsidR="00F11CC3" w:rsidRDefault="00EE7592" w:rsidP="00F11CC3">
      <w:pPr>
        <w:rPr>
          <w:rFonts w:ascii="Arial" w:hAnsi="Arial" w:cs="Arial"/>
          <w:b/>
          <w:sz w:val="24"/>
          <w:lang w:val="en-US"/>
        </w:rPr>
      </w:pPr>
      <w:r>
        <w:rPr>
          <w:rFonts w:ascii="Arial" w:hAnsi="Arial" w:cs="Arial"/>
          <w:b/>
          <w:sz w:val="24"/>
          <w:lang w:val="en-US"/>
        </w:rPr>
        <w:t xml:space="preserve">FR1 </w:t>
      </w:r>
      <w:r w:rsidR="00F11CC3">
        <w:rPr>
          <w:rFonts w:ascii="Arial" w:hAnsi="Arial" w:cs="Arial"/>
          <w:b/>
          <w:sz w:val="24"/>
          <w:lang w:val="en-US"/>
        </w:rPr>
        <w:t>Intra-frequency:</w:t>
      </w:r>
    </w:p>
    <w:p w14:paraId="2DA217E0" w14:textId="776A4EBB" w:rsidR="00F11CC3" w:rsidRDefault="00F11CC3" w:rsidP="00F11CC3">
      <w:pPr>
        <w:rPr>
          <w:rFonts w:ascii="Arial" w:hAnsi="Arial" w:cs="Arial"/>
          <w:b/>
          <w:i/>
          <w:lang w:val="en-US"/>
        </w:rPr>
      </w:pPr>
      <w:r w:rsidRPr="00B777FB">
        <w:rPr>
          <w:rFonts w:ascii="Arial" w:hAnsi="Arial" w:cs="Arial"/>
          <w:b/>
          <w:i/>
          <w:lang w:val="en-US"/>
        </w:rPr>
        <w:t>Simultaneous Rx</w:t>
      </w:r>
      <w:r w:rsidR="00563F81">
        <w:rPr>
          <w:rFonts w:ascii="Arial" w:hAnsi="Arial" w:cs="Arial"/>
          <w:b/>
          <w:i/>
          <w:lang w:val="en-US"/>
        </w:rPr>
        <w:t xml:space="preserve"> (same </w:t>
      </w:r>
      <w:r w:rsidR="00C07B03">
        <w:rPr>
          <w:rFonts w:ascii="Arial" w:hAnsi="Arial" w:cs="Arial"/>
          <w:b/>
          <w:i/>
          <w:lang w:val="en-US"/>
        </w:rPr>
        <w:t>DL numerology</w:t>
      </w:r>
      <w:r w:rsidR="00563F81">
        <w:rPr>
          <w:rFonts w:ascii="Arial" w:hAnsi="Arial" w:cs="Arial"/>
          <w:b/>
          <w:i/>
          <w:lang w:val="en-US"/>
        </w:rPr>
        <w:t>)</w:t>
      </w:r>
      <w:r w:rsidRPr="00B777FB">
        <w:rPr>
          <w:rFonts w:ascii="Arial" w:hAnsi="Arial" w:cs="Arial"/>
          <w:b/>
          <w:i/>
          <w:lang w:val="en-US"/>
        </w:rPr>
        <w:t>:</w:t>
      </w:r>
    </w:p>
    <w:p w14:paraId="3E7AB608" w14:textId="697102BB" w:rsidR="00F11CC3" w:rsidRDefault="00F11CC3" w:rsidP="00F11CC3">
      <w:pPr>
        <w:rPr>
          <w:lang w:val="en-US"/>
        </w:rPr>
      </w:pPr>
      <w:r>
        <w:rPr>
          <w:lang w:val="en-US"/>
        </w:rPr>
        <w:t xml:space="preserve">In synchronous case, it is feasible to support simultaneous Rx by either sharing a single Rx chain or allocating separate Rx chains for source and target cells. In case of single Rx chain, </w:t>
      </w:r>
      <w:r w:rsidR="00563F81">
        <w:rPr>
          <w:lang w:val="en-US"/>
        </w:rPr>
        <w:t>received timing difference must be limited (e.g., within CP minus some margin for multipath profile of the channel) and power difference must also be limited. In single Rx, target DL BWP</w:t>
      </w:r>
      <w:r>
        <w:rPr>
          <w:lang w:val="en-US"/>
        </w:rPr>
        <w:t xml:space="preserve"> must be </w:t>
      </w:r>
      <w:r w:rsidR="00563F81">
        <w:rPr>
          <w:lang w:val="en-US"/>
        </w:rPr>
        <w:t>within source DL BWP</w:t>
      </w:r>
      <w:r w:rsidR="003C6DF7">
        <w:rPr>
          <w:lang w:val="en-US"/>
        </w:rPr>
        <w:t xml:space="preserve"> and source cell BW should contain target cell BW</w:t>
      </w:r>
      <w:r w:rsidR="00563F81">
        <w:rPr>
          <w:lang w:val="en-US"/>
        </w:rPr>
        <w:t xml:space="preserve">. In case of single Rx chain, </w:t>
      </w:r>
      <w:r>
        <w:rPr>
          <w:lang w:val="en-US"/>
        </w:rPr>
        <w:t>additional baseband resources can be obtained by reducing number of CA/bands/MIMO layers</w:t>
      </w:r>
      <w:r w:rsidR="00563F81">
        <w:rPr>
          <w:lang w:val="en-US"/>
        </w:rPr>
        <w:t xml:space="preserve"> to perform dual baseband FFT.</w:t>
      </w:r>
    </w:p>
    <w:p w14:paraId="04A61997" w14:textId="77777777" w:rsidR="00F11CC3" w:rsidRDefault="00F11CC3" w:rsidP="00F11CC3">
      <w:pPr>
        <w:rPr>
          <w:lang w:val="en-US"/>
        </w:rPr>
      </w:pPr>
      <w:r>
        <w:rPr>
          <w:lang w:val="en-US"/>
        </w:rPr>
        <w:t>In case of separate Rx chains, UE’s “baseband and RF resources” may have to be released to aid HO so UE may need to reduce its capability (</w:t>
      </w:r>
      <w:proofErr w:type="spellStart"/>
      <w:proofErr w:type="gramStart"/>
      <w:r>
        <w:rPr>
          <w:lang w:val="en-US"/>
        </w:rPr>
        <w:t>e.g</w:t>
      </w:r>
      <w:proofErr w:type="spellEnd"/>
      <w:r>
        <w:rPr>
          <w:lang w:val="en-US"/>
        </w:rPr>
        <w:t>,.</w:t>
      </w:r>
      <w:proofErr w:type="gramEnd"/>
      <w:r>
        <w:rPr>
          <w:lang w:val="en-US"/>
        </w:rPr>
        <w:t xml:space="preserve"> reducing number of CA/bands/MIMO layers) during HO. </w:t>
      </w:r>
    </w:p>
    <w:p w14:paraId="673AF763" w14:textId="2F82BB7E" w:rsidR="00563F81" w:rsidRDefault="00563F81" w:rsidP="00563F81">
      <w:pPr>
        <w:rPr>
          <w:lang w:val="en-US"/>
        </w:rPr>
      </w:pPr>
      <w:r>
        <w:rPr>
          <w:lang w:val="en-US"/>
        </w:rPr>
        <w:t xml:space="preserve">In asynchronous case, cross-interference between source and target cells is higher. Simultaneous Rx is feasible with separate Rx chains for a UE with Dual-connectivity (DC) capability. </w:t>
      </w:r>
    </w:p>
    <w:p w14:paraId="455F9868" w14:textId="77777777" w:rsidR="003C6DF7" w:rsidRDefault="003C6DF7" w:rsidP="00563F81">
      <w:pPr>
        <w:rPr>
          <w:lang w:val="en-US"/>
        </w:rPr>
      </w:pPr>
    </w:p>
    <w:p w14:paraId="7BCCA3C1" w14:textId="48393497" w:rsidR="00563F81" w:rsidRDefault="00563F81" w:rsidP="00563F81">
      <w:pPr>
        <w:rPr>
          <w:rFonts w:ascii="Arial" w:hAnsi="Arial" w:cs="Arial"/>
          <w:b/>
          <w:i/>
          <w:lang w:val="en-US"/>
        </w:rPr>
      </w:pPr>
      <w:r w:rsidRPr="00B777FB">
        <w:rPr>
          <w:rFonts w:ascii="Arial" w:hAnsi="Arial" w:cs="Arial"/>
          <w:b/>
          <w:i/>
          <w:lang w:val="en-US"/>
        </w:rPr>
        <w:lastRenderedPageBreak/>
        <w:t xml:space="preserve">Simultaneous </w:t>
      </w:r>
      <w:r>
        <w:rPr>
          <w:rFonts w:ascii="Arial" w:hAnsi="Arial" w:cs="Arial"/>
          <w:b/>
          <w:i/>
          <w:lang w:val="en-US"/>
        </w:rPr>
        <w:t>T</w:t>
      </w:r>
      <w:r w:rsidRPr="00B777FB">
        <w:rPr>
          <w:rFonts w:ascii="Arial" w:hAnsi="Arial" w:cs="Arial"/>
          <w:b/>
          <w:i/>
          <w:lang w:val="en-US"/>
        </w:rPr>
        <w:t>x</w:t>
      </w:r>
      <w:r>
        <w:rPr>
          <w:rFonts w:ascii="Arial" w:hAnsi="Arial" w:cs="Arial"/>
          <w:b/>
          <w:i/>
          <w:lang w:val="en-US"/>
        </w:rPr>
        <w:t xml:space="preserve"> (same </w:t>
      </w:r>
      <w:r w:rsidR="00C07B03">
        <w:rPr>
          <w:rFonts w:ascii="Arial" w:hAnsi="Arial" w:cs="Arial"/>
          <w:b/>
          <w:i/>
          <w:lang w:val="en-US"/>
        </w:rPr>
        <w:t>UL numerology</w:t>
      </w:r>
      <w:r>
        <w:rPr>
          <w:rFonts w:ascii="Arial" w:hAnsi="Arial" w:cs="Arial"/>
          <w:b/>
          <w:i/>
          <w:lang w:val="en-US"/>
        </w:rPr>
        <w:t>)</w:t>
      </w:r>
      <w:r w:rsidRPr="00B777FB">
        <w:rPr>
          <w:rFonts w:ascii="Arial" w:hAnsi="Arial" w:cs="Arial"/>
          <w:b/>
          <w:i/>
          <w:lang w:val="en-US"/>
        </w:rPr>
        <w:t>:</w:t>
      </w:r>
    </w:p>
    <w:p w14:paraId="47FDD148" w14:textId="11F75ECD" w:rsidR="00EE7592" w:rsidRDefault="00EE7592" w:rsidP="00111DA9">
      <w:pPr>
        <w:rPr>
          <w:lang w:val="en-US"/>
        </w:rPr>
      </w:pPr>
      <w:r>
        <w:rPr>
          <w:lang w:val="en-US"/>
        </w:rPr>
        <w:t>In synchronous case, it is feasible to support simultaneous Tx by using separate Tx chains for UE’s with UL-MIMO capability. In this case, PSD difference and MPR/A-MPR need to be studied</w:t>
      </w:r>
      <w:r w:rsidR="00DC72A1">
        <w:rPr>
          <w:lang w:val="en-US"/>
        </w:rPr>
        <w:t xml:space="preserve"> </w:t>
      </w:r>
      <w:r>
        <w:rPr>
          <w:lang w:val="en-US"/>
        </w:rPr>
        <w:t xml:space="preserve">and MTTD can be relaxed to portion of CP. </w:t>
      </w:r>
    </w:p>
    <w:p w14:paraId="608C9942" w14:textId="3CA7B895" w:rsidR="00111DA9" w:rsidRDefault="00EE7592" w:rsidP="00111DA9">
      <w:pPr>
        <w:rPr>
          <w:lang w:val="en-US"/>
        </w:rPr>
      </w:pPr>
      <w:r>
        <w:rPr>
          <w:lang w:val="en-US"/>
        </w:rPr>
        <w:t xml:space="preserve">Supporting simultaneous Tx by using a single Tx chain may be possible with limitations on same waveform (CP-OFDM vs SC-OFDM), PRB allocation FDM/TDM between source and target cells, and MTTD~0. </w:t>
      </w:r>
      <w:r w:rsidR="00EE5B7E">
        <w:rPr>
          <w:lang w:val="en-US"/>
        </w:rPr>
        <w:t>Furthermore, active UL BWP of source cell should contain active UL BWP of target cell and source cell BW should contain target cell BW.</w:t>
      </w:r>
    </w:p>
    <w:p w14:paraId="4F0FA71C" w14:textId="5C24A185" w:rsidR="00EE7592" w:rsidRDefault="00EE7592" w:rsidP="00111DA9">
      <w:pPr>
        <w:rPr>
          <w:lang w:val="en-US"/>
        </w:rPr>
      </w:pPr>
      <w:r>
        <w:rPr>
          <w:lang w:val="en-US"/>
        </w:rPr>
        <w:t>Supporting simultaneous Tx in asynchronous case</w:t>
      </w:r>
      <w:r w:rsidR="00E16409">
        <w:rPr>
          <w:lang w:val="en-US"/>
        </w:rPr>
        <w:t xml:space="preserve"> is not possible with single Tx and is FFS for a UE with ULCA capability (e.g., MTTD needs to be relaxed which impacts </w:t>
      </w:r>
      <w:r w:rsidR="00C07B03">
        <w:rPr>
          <w:lang w:val="en-US"/>
        </w:rPr>
        <w:t xml:space="preserve">other </w:t>
      </w:r>
      <w:r w:rsidR="00E16409">
        <w:rPr>
          <w:lang w:val="en-US"/>
        </w:rPr>
        <w:t>impairment</w:t>
      </w:r>
      <w:r w:rsidR="00C07B03">
        <w:rPr>
          <w:lang w:val="en-US"/>
        </w:rPr>
        <w:t>s</w:t>
      </w:r>
      <w:r w:rsidR="00E16409">
        <w:rPr>
          <w:lang w:val="en-US"/>
        </w:rPr>
        <w:t xml:space="preserve">). </w:t>
      </w:r>
    </w:p>
    <w:p w14:paraId="42E871E5" w14:textId="3AA5A3CD" w:rsidR="00E16409" w:rsidRDefault="00E16409" w:rsidP="00E16409">
      <w:pPr>
        <w:rPr>
          <w:rFonts w:ascii="Arial" w:hAnsi="Arial" w:cs="Arial"/>
          <w:b/>
          <w:i/>
          <w:lang w:val="en-US"/>
        </w:rPr>
      </w:pPr>
      <w:r w:rsidRPr="00B777FB">
        <w:rPr>
          <w:rFonts w:ascii="Arial" w:hAnsi="Arial" w:cs="Arial"/>
          <w:b/>
          <w:i/>
          <w:lang w:val="en-US"/>
        </w:rPr>
        <w:t xml:space="preserve">Simultaneous </w:t>
      </w:r>
      <w:r>
        <w:rPr>
          <w:rFonts w:ascii="Arial" w:hAnsi="Arial" w:cs="Arial"/>
          <w:b/>
          <w:i/>
          <w:lang w:val="en-US"/>
        </w:rPr>
        <w:t>Rx/T</w:t>
      </w:r>
      <w:r w:rsidRPr="00B777FB">
        <w:rPr>
          <w:rFonts w:ascii="Arial" w:hAnsi="Arial" w:cs="Arial"/>
          <w:b/>
          <w:i/>
          <w:lang w:val="en-US"/>
        </w:rPr>
        <w:t>x</w:t>
      </w:r>
      <w:r>
        <w:rPr>
          <w:rFonts w:ascii="Arial" w:hAnsi="Arial" w:cs="Arial"/>
          <w:b/>
          <w:i/>
          <w:lang w:val="en-US"/>
        </w:rPr>
        <w:t xml:space="preserve"> (different </w:t>
      </w:r>
      <w:r w:rsidR="00C07B03">
        <w:rPr>
          <w:rFonts w:ascii="Arial" w:hAnsi="Arial" w:cs="Arial"/>
          <w:b/>
          <w:i/>
          <w:lang w:val="en-US"/>
        </w:rPr>
        <w:t>numerology</w:t>
      </w:r>
      <w:r>
        <w:rPr>
          <w:rFonts w:ascii="Arial" w:hAnsi="Arial" w:cs="Arial"/>
          <w:b/>
          <w:i/>
          <w:lang w:val="en-US"/>
        </w:rPr>
        <w:t>)</w:t>
      </w:r>
      <w:r w:rsidRPr="00B777FB">
        <w:rPr>
          <w:rFonts w:ascii="Arial" w:hAnsi="Arial" w:cs="Arial"/>
          <w:b/>
          <w:i/>
          <w:lang w:val="en-US"/>
        </w:rPr>
        <w:t>:</w:t>
      </w:r>
    </w:p>
    <w:p w14:paraId="3DA59BFA" w14:textId="2309F30A" w:rsidR="00E16409" w:rsidRDefault="00E16409" w:rsidP="00111DA9">
      <w:pPr>
        <w:rPr>
          <w:lang w:val="en-US"/>
        </w:rPr>
      </w:pPr>
      <w:r>
        <w:rPr>
          <w:lang w:val="en-US"/>
        </w:rPr>
        <w:t xml:space="preserve">One SCS delivers optimal performance per band or multiple bands. Hence, within intra-frequency framework HO between source and target cells with different SCS is not a practical situation to be considered. </w:t>
      </w:r>
    </w:p>
    <w:p w14:paraId="57889137" w14:textId="52364D7B" w:rsidR="00E16409" w:rsidRPr="0084172C" w:rsidRDefault="00E16409" w:rsidP="00111DA9">
      <w:pPr>
        <w:rPr>
          <w:b/>
          <w:lang w:val="en-US"/>
        </w:rPr>
      </w:pPr>
      <w:r w:rsidRPr="0084172C">
        <w:rPr>
          <w:b/>
          <w:lang w:val="en-US"/>
        </w:rPr>
        <w:t>Observation 1. In FR1 intra-frequency:</w:t>
      </w:r>
    </w:p>
    <w:p w14:paraId="08475B27" w14:textId="1A9E8B4C" w:rsidR="00E16409" w:rsidRPr="00EE5B7E" w:rsidRDefault="00E16409" w:rsidP="00E16409">
      <w:pPr>
        <w:pStyle w:val="ListParagraph"/>
        <w:numPr>
          <w:ilvl w:val="0"/>
          <w:numId w:val="12"/>
        </w:numPr>
        <w:rPr>
          <w:b/>
          <w:sz w:val="20"/>
          <w:szCs w:val="20"/>
        </w:rPr>
      </w:pPr>
      <w:r w:rsidRPr="00EE5B7E">
        <w:rPr>
          <w:b/>
          <w:sz w:val="20"/>
          <w:szCs w:val="20"/>
        </w:rPr>
        <w:t>Simultaneous Rx in synchronous case is possible with single Rx or separate Rx chains. In single Rx, received timing difference and power difference must be limited.</w:t>
      </w:r>
      <w:r w:rsidR="00EE5B7E" w:rsidRPr="00EE5B7E">
        <w:rPr>
          <w:b/>
          <w:sz w:val="20"/>
          <w:szCs w:val="20"/>
        </w:rPr>
        <w:t xml:space="preserve"> </w:t>
      </w:r>
      <w:r w:rsidR="00EE5B7E" w:rsidRPr="00EE5B7E">
        <w:rPr>
          <w:b/>
          <w:sz w:val="20"/>
          <w:szCs w:val="20"/>
        </w:rPr>
        <w:t>Source cell active DL BWP contains target cell active DL BWP, and source cell BW contains target cell BW.</w:t>
      </w:r>
    </w:p>
    <w:p w14:paraId="6871F591" w14:textId="008AA181" w:rsidR="00E16409" w:rsidRPr="0084172C" w:rsidRDefault="00E16409" w:rsidP="00E16409">
      <w:pPr>
        <w:pStyle w:val="ListParagraph"/>
        <w:numPr>
          <w:ilvl w:val="0"/>
          <w:numId w:val="12"/>
        </w:numPr>
        <w:rPr>
          <w:b/>
          <w:sz w:val="20"/>
        </w:rPr>
      </w:pPr>
      <w:r w:rsidRPr="0084172C">
        <w:rPr>
          <w:b/>
          <w:sz w:val="20"/>
        </w:rPr>
        <w:t>Simultaneous Rx in asynchronous case is possible with separate Rx chains for a UE with DC capability.</w:t>
      </w:r>
    </w:p>
    <w:p w14:paraId="616282F1" w14:textId="38FF110A" w:rsidR="00E16409" w:rsidRPr="00EE5B7E" w:rsidRDefault="00E16409" w:rsidP="00E16409">
      <w:pPr>
        <w:pStyle w:val="ListParagraph"/>
        <w:numPr>
          <w:ilvl w:val="0"/>
          <w:numId w:val="12"/>
        </w:numPr>
        <w:rPr>
          <w:b/>
          <w:sz w:val="20"/>
          <w:szCs w:val="20"/>
        </w:rPr>
      </w:pPr>
      <w:r w:rsidRPr="0084172C">
        <w:rPr>
          <w:b/>
          <w:sz w:val="20"/>
        </w:rPr>
        <w:t xml:space="preserve">Simultaneous Tx in synchronous case is possible with separate Tx chains and UE’s with UL-MIMO capability with considerations on PSD difference and MPR/A-MPR. With single Tx chain, simultaneous Tx may be possible </w:t>
      </w:r>
      <w:r w:rsidR="0084172C" w:rsidRPr="0084172C">
        <w:rPr>
          <w:b/>
          <w:sz w:val="20"/>
        </w:rPr>
        <w:t>with limitations on same waveform, PRB allocation, MTTD</w:t>
      </w:r>
      <w:r w:rsidR="00EE5B7E">
        <w:rPr>
          <w:b/>
          <w:sz w:val="20"/>
        </w:rPr>
        <w:t xml:space="preserve">. </w:t>
      </w:r>
      <w:r w:rsidR="00EE5B7E" w:rsidRPr="00EE5B7E">
        <w:rPr>
          <w:b/>
          <w:sz w:val="20"/>
          <w:szCs w:val="20"/>
        </w:rPr>
        <w:t xml:space="preserve">Furthermore, </w:t>
      </w:r>
      <w:r w:rsidR="00EE5B7E" w:rsidRPr="00EE5B7E">
        <w:rPr>
          <w:b/>
          <w:sz w:val="20"/>
          <w:szCs w:val="20"/>
        </w:rPr>
        <w:t>source cell active UL BWP contains target cell active UL BWP and source cell BW contains target cell BW.</w:t>
      </w:r>
    </w:p>
    <w:p w14:paraId="39B95AA6" w14:textId="77777777" w:rsidR="0084172C" w:rsidRPr="0084172C" w:rsidRDefault="0084172C" w:rsidP="0084172C">
      <w:pPr>
        <w:pStyle w:val="ListParagraph"/>
        <w:numPr>
          <w:ilvl w:val="0"/>
          <w:numId w:val="12"/>
        </w:numPr>
        <w:rPr>
          <w:b/>
          <w:sz w:val="20"/>
        </w:rPr>
      </w:pPr>
      <w:r w:rsidRPr="0084172C">
        <w:rPr>
          <w:b/>
          <w:sz w:val="20"/>
        </w:rPr>
        <w:t xml:space="preserve">Simultaneous Tx in asynchronous case is not possible with single Tx chain and is FFS for UE’s with ULCA capability (e.g., MTTD needs to be relaxed which impacts inter-mod IM impairment). </w:t>
      </w:r>
    </w:p>
    <w:p w14:paraId="1533DB98" w14:textId="7052DBAD" w:rsidR="0084172C" w:rsidRPr="0084172C" w:rsidRDefault="0084172C" w:rsidP="00E16409">
      <w:pPr>
        <w:pStyle w:val="ListParagraph"/>
        <w:numPr>
          <w:ilvl w:val="0"/>
          <w:numId w:val="12"/>
        </w:numPr>
        <w:rPr>
          <w:b/>
          <w:sz w:val="20"/>
        </w:rPr>
      </w:pPr>
      <w:r w:rsidRPr="0084172C">
        <w:rPr>
          <w:b/>
          <w:sz w:val="20"/>
        </w:rPr>
        <w:t xml:space="preserve">Different </w:t>
      </w:r>
      <w:r w:rsidR="00C07B03">
        <w:rPr>
          <w:b/>
          <w:sz w:val="20"/>
        </w:rPr>
        <w:t>numerology</w:t>
      </w:r>
      <w:r w:rsidRPr="0084172C">
        <w:rPr>
          <w:b/>
          <w:sz w:val="20"/>
        </w:rPr>
        <w:t xml:space="preserve"> is not a practical situation to be considered in intra-frequency scenarios.</w:t>
      </w:r>
    </w:p>
    <w:p w14:paraId="6214A9E5" w14:textId="5A9B2769" w:rsidR="00E16409" w:rsidRDefault="00E16409" w:rsidP="00111DA9">
      <w:pPr>
        <w:rPr>
          <w:lang w:val="en-US"/>
        </w:rPr>
      </w:pPr>
    </w:p>
    <w:p w14:paraId="100BF1F8" w14:textId="58DA1403" w:rsidR="00BE0734" w:rsidRDefault="00BE0734" w:rsidP="00BE0734">
      <w:pPr>
        <w:rPr>
          <w:rFonts w:ascii="Arial" w:hAnsi="Arial" w:cs="Arial"/>
          <w:b/>
          <w:sz w:val="24"/>
          <w:lang w:val="en-US"/>
        </w:rPr>
      </w:pPr>
      <w:r>
        <w:rPr>
          <w:rFonts w:ascii="Arial" w:hAnsi="Arial" w:cs="Arial"/>
          <w:b/>
          <w:sz w:val="24"/>
          <w:lang w:val="en-US"/>
        </w:rPr>
        <w:t>FR1 Int</w:t>
      </w:r>
      <w:r w:rsidR="00924A9B">
        <w:rPr>
          <w:rFonts w:ascii="Arial" w:hAnsi="Arial" w:cs="Arial"/>
          <w:b/>
          <w:sz w:val="24"/>
          <w:lang w:val="en-US"/>
        </w:rPr>
        <w:t>er</w:t>
      </w:r>
      <w:r>
        <w:rPr>
          <w:rFonts w:ascii="Arial" w:hAnsi="Arial" w:cs="Arial"/>
          <w:b/>
          <w:sz w:val="24"/>
          <w:lang w:val="en-US"/>
        </w:rPr>
        <w:t>-frequency</w:t>
      </w:r>
      <w:r w:rsidR="00924A9B">
        <w:rPr>
          <w:rFonts w:ascii="Arial" w:hAnsi="Arial" w:cs="Arial"/>
          <w:b/>
          <w:sz w:val="24"/>
          <w:lang w:val="en-US"/>
        </w:rPr>
        <w:t xml:space="preserve"> Intra-band</w:t>
      </w:r>
      <w:r>
        <w:rPr>
          <w:rFonts w:ascii="Arial" w:hAnsi="Arial" w:cs="Arial"/>
          <w:b/>
          <w:sz w:val="24"/>
          <w:lang w:val="en-US"/>
        </w:rPr>
        <w:t>:</w:t>
      </w:r>
    </w:p>
    <w:p w14:paraId="15980FFA" w14:textId="059F1A8A" w:rsidR="00924A9B" w:rsidRDefault="00924A9B" w:rsidP="00924A9B">
      <w:pPr>
        <w:rPr>
          <w:rFonts w:ascii="Arial" w:hAnsi="Arial" w:cs="Arial"/>
          <w:b/>
          <w:i/>
          <w:lang w:val="en-US"/>
        </w:rPr>
      </w:pPr>
      <w:r w:rsidRPr="00B777FB">
        <w:rPr>
          <w:rFonts w:ascii="Arial" w:hAnsi="Arial" w:cs="Arial"/>
          <w:b/>
          <w:i/>
          <w:lang w:val="en-US"/>
        </w:rPr>
        <w:t>Simultaneous Rx</w:t>
      </w:r>
      <w:r>
        <w:rPr>
          <w:rFonts w:ascii="Arial" w:hAnsi="Arial" w:cs="Arial"/>
          <w:b/>
          <w:i/>
          <w:lang w:val="en-US"/>
        </w:rPr>
        <w:t xml:space="preserve"> (same </w:t>
      </w:r>
      <w:r w:rsidR="00C07B03">
        <w:rPr>
          <w:rFonts w:ascii="Arial" w:hAnsi="Arial" w:cs="Arial"/>
          <w:b/>
          <w:i/>
          <w:lang w:val="en-US"/>
        </w:rPr>
        <w:t>DL numerology</w:t>
      </w:r>
      <w:r>
        <w:rPr>
          <w:rFonts w:ascii="Arial" w:hAnsi="Arial" w:cs="Arial"/>
          <w:b/>
          <w:i/>
          <w:lang w:val="en-US"/>
        </w:rPr>
        <w:t>)</w:t>
      </w:r>
      <w:r w:rsidRPr="00B777FB">
        <w:rPr>
          <w:rFonts w:ascii="Arial" w:hAnsi="Arial" w:cs="Arial"/>
          <w:b/>
          <w:i/>
          <w:lang w:val="en-US"/>
        </w:rPr>
        <w:t>:</w:t>
      </w:r>
    </w:p>
    <w:p w14:paraId="5979C1F5" w14:textId="6E7308D7" w:rsidR="00924A9B" w:rsidRDefault="00924A9B" w:rsidP="00924A9B">
      <w:pPr>
        <w:rPr>
          <w:lang w:val="en-US"/>
        </w:rPr>
      </w:pPr>
      <w:r>
        <w:rPr>
          <w:lang w:val="en-US"/>
        </w:rPr>
        <w:t xml:space="preserve">For synchronous scenarios, simultaneous Rx in intra-band with single Rx chain may be feasible </w:t>
      </w:r>
      <w:proofErr w:type="gramStart"/>
      <w:r>
        <w:rPr>
          <w:lang w:val="en-US"/>
        </w:rPr>
        <w:t>as long as</w:t>
      </w:r>
      <w:proofErr w:type="gramEnd"/>
      <w:r>
        <w:rPr>
          <w:lang w:val="en-US"/>
        </w:rPr>
        <w:t xml:space="preserve"> the carrier frequency separation between source and target cells and total BW (source plus target BW) are limited. Dual baseband processing (FFT, tracking loops) is required so additional baseband resources can be obtained by reducing number of CA/bands/MIMO layers. Simultaneous Rx in intra-band with more than a single Rx chain is possible if carrier frequency separation is beyond a TBD limit for a UE capable of DLCA. </w:t>
      </w:r>
    </w:p>
    <w:p w14:paraId="5473B50C" w14:textId="657FB26D" w:rsidR="00924A9B" w:rsidRDefault="00924A9B" w:rsidP="00924A9B">
      <w:pPr>
        <w:rPr>
          <w:lang w:val="en-US"/>
        </w:rPr>
      </w:pPr>
      <w:r>
        <w:rPr>
          <w:lang w:val="en-US"/>
        </w:rPr>
        <w:t>For asynchronous scenarios, simultaneous Rx is not possible with single Rx chain. It is feasible with separate Rx chains if carrier frequency separation is beyond a TBD limit and UE is capable of DC.</w:t>
      </w:r>
    </w:p>
    <w:p w14:paraId="6EECFBAD" w14:textId="1095FDEC" w:rsidR="008E67D2" w:rsidRDefault="008E67D2" w:rsidP="00924A9B">
      <w:pPr>
        <w:rPr>
          <w:lang w:val="en-US"/>
        </w:rPr>
      </w:pPr>
      <w:r>
        <w:rPr>
          <w:lang w:val="en-US"/>
        </w:rPr>
        <w:t xml:space="preserve">Combinations of supported source and target frequencies depend on UE’s band combination capabilities.  </w:t>
      </w:r>
    </w:p>
    <w:p w14:paraId="1432E473" w14:textId="5FEC641D" w:rsidR="00A462C1" w:rsidRDefault="00A462C1" w:rsidP="00A462C1">
      <w:pPr>
        <w:rPr>
          <w:rFonts w:ascii="Arial" w:hAnsi="Arial" w:cs="Arial"/>
          <w:b/>
          <w:i/>
          <w:lang w:val="en-US"/>
        </w:rPr>
      </w:pPr>
      <w:r w:rsidRPr="00B777FB">
        <w:rPr>
          <w:rFonts w:ascii="Arial" w:hAnsi="Arial" w:cs="Arial"/>
          <w:b/>
          <w:i/>
          <w:lang w:val="en-US"/>
        </w:rPr>
        <w:t xml:space="preserve">Simultaneous </w:t>
      </w:r>
      <w:r>
        <w:rPr>
          <w:rFonts w:ascii="Arial" w:hAnsi="Arial" w:cs="Arial"/>
          <w:b/>
          <w:i/>
          <w:lang w:val="en-US"/>
        </w:rPr>
        <w:t>T</w:t>
      </w:r>
      <w:r w:rsidRPr="00B777FB">
        <w:rPr>
          <w:rFonts w:ascii="Arial" w:hAnsi="Arial" w:cs="Arial"/>
          <w:b/>
          <w:i/>
          <w:lang w:val="en-US"/>
        </w:rPr>
        <w:t>x</w:t>
      </w:r>
      <w:r>
        <w:rPr>
          <w:rFonts w:ascii="Arial" w:hAnsi="Arial" w:cs="Arial"/>
          <w:b/>
          <w:i/>
          <w:lang w:val="en-US"/>
        </w:rPr>
        <w:t xml:space="preserve"> (same </w:t>
      </w:r>
      <w:r w:rsidR="00C07B03">
        <w:rPr>
          <w:rFonts w:ascii="Arial" w:hAnsi="Arial" w:cs="Arial"/>
          <w:b/>
          <w:i/>
          <w:lang w:val="en-US"/>
        </w:rPr>
        <w:t>UL numerology</w:t>
      </w:r>
      <w:r>
        <w:rPr>
          <w:rFonts w:ascii="Arial" w:hAnsi="Arial" w:cs="Arial"/>
          <w:b/>
          <w:i/>
          <w:lang w:val="en-US"/>
        </w:rPr>
        <w:t>)</w:t>
      </w:r>
      <w:r w:rsidRPr="00B777FB">
        <w:rPr>
          <w:rFonts w:ascii="Arial" w:hAnsi="Arial" w:cs="Arial"/>
          <w:b/>
          <w:i/>
          <w:lang w:val="en-US"/>
        </w:rPr>
        <w:t>:</w:t>
      </w:r>
    </w:p>
    <w:p w14:paraId="413EAD8D" w14:textId="7B51AE05" w:rsidR="00924A9B" w:rsidRDefault="000A700D" w:rsidP="00BE0734">
      <w:pPr>
        <w:rPr>
          <w:lang w:val="en-US"/>
        </w:rPr>
      </w:pPr>
      <w:r>
        <w:rPr>
          <w:lang w:val="en-US"/>
        </w:rPr>
        <w:t>For synchronous scenarios, simultaneous Tx in intra-band with single Tx chain is feasible for ULCA capable UE’s. With single Tx chain, MTTD is restricted to ~0, PSD delta must be limited, and allocation in frequency domain must be contiguous. With separate Tx chains, MTTD can be relaxed to portion of CP. PSD delta and MPR/A-MPR need further study.</w:t>
      </w:r>
    </w:p>
    <w:p w14:paraId="078DF81F" w14:textId="653B0752" w:rsidR="000A700D" w:rsidRDefault="000A700D" w:rsidP="00BE0734">
      <w:pPr>
        <w:rPr>
          <w:lang w:val="en-US"/>
        </w:rPr>
      </w:pPr>
      <w:r>
        <w:rPr>
          <w:lang w:val="en-US"/>
        </w:rPr>
        <w:t xml:space="preserve">For asynchronous scenarios, simultaneous Tx in intra-band with single Tx chain is not feasible. The feasibility with separate Tx chains for ULCA capable UE’s is FFS. </w:t>
      </w:r>
    </w:p>
    <w:p w14:paraId="2494C4A9" w14:textId="677B2223" w:rsidR="008E67D2" w:rsidRPr="008E67D2" w:rsidRDefault="008E67D2" w:rsidP="00BE0734">
      <w:pPr>
        <w:rPr>
          <w:lang w:val="en-US"/>
        </w:rPr>
      </w:pPr>
      <w:r>
        <w:rPr>
          <w:lang w:val="en-US"/>
        </w:rPr>
        <w:t xml:space="preserve">Combinations of supported source and target frequencies depend on UE’s band combination capabilities.  </w:t>
      </w:r>
    </w:p>
    <w:p w14:paraId="44A26E03" w14:textId="2D6B20E9" w:rsidR="000A700D" w:rsidRDefault="000A700D" w:rsidP="000A700D">
      <w:pPr>
        <w:rPr>
          <w:rFonts w:ascii="Arial" w:hAnsi="Arial" w:cs="Arial"/>
          <w:b/>
          <w:i/>
          <w:lang w:val="en-US"/>
        </w:rPr>
      </w:pPr>
      <w:r w:rsidRPr="00B777FB">
        <w:rPr>
          <w:rFonts w:ascii="Arial" w:hAnsi="Arial" w:cs="Arial"/>
          <w:b/>
          <w:i/>
          <w:lang w:val="en-US"/>
        </w:rPr>
        <w:t xml:space="preserve">Simultaneous </w:t>
      </w:r>
      <w:r>
        <w:rPr>
          <w:rFonts w:ascii="Arial" w:hAnsi="Arial" w:cs="Arial"/>
          <w:b/>
          <w:i/>
          <w:lang w:val="en-US"/>
        </w:rPr>
        <w:t>Rx/T</w:t>
      </w:r>
      <w:r w:rsidRPr="00B777FB">
        <w:rPr>
          <w:rFonts w:ascii="Arial" w:hAnsi="Arial" w:cs="Arial"/>
          <w:b/>
          <w:i/>
          <w:lang w:val="en-US"/>
        </w:rPr>
        <w:t>x</w:t>
      </w:r>
      <w:r>
        <w:rPr>
          <w:rFonts w:ascii="Arial" w:hAnsi="Arial" w:cs="Arial"/>
          <w:b/>
          <w:i/>
          <w:lang w:val="en-US"/>
        </w:rPr>
        <w:t xml:space="preserve"> (different </w:t>
      </w:r>
      <w:r w:rsidR="00C07B03">
        <w:rPr>
          <w:rFonts w:ascii="Arial" w:hAnsi="Arial" w:cs="Arial"/>
          <w:b/>
          <w:i/>
          <w:lang w:val="en-US"/>
        </w:rPr>
        <w:t>numerology</w:t>
      </w:r>
      <w:r>
        <w:rPr>
          <w:rFonts w:ascii="Arial" w:hAnsi="Arial" w:cs="Arial"/>
          <w:b/>
          <w:i/>
          <w:lang w:val="en-US"/>
        </w:rPr>
        <w:t>)</w:t>
      </w:r>
      <w:r w:rsidRPr="00B777FB">
        <w:rPr>
          <w:rFonts w:ascii="Arial" w:hAnsi="Arial" w:cs="Arial"/>
          <w:b/>
          <w:i/>
          <w:lang w:val="en-US"/>
        </w:rPr>
        <w:t>:</w:t>
      </w:r>
    </w:p>
    <w:p w14:paraId="266338AA" w14:textId="77777777" w:rsidR="000A700D" w:rsidRDefault="000A700D" w:rsidP="000A700D">
      <w:pPr>
        <w:rPr>
          <w:lang w:val="en-US"/>
        </w:rPr>
      </w:pPr>
      <w:r>
        <w:rPr>
          <w:lang w:val="en-US"/>
        </w:rPr>
        <w:t xml:space="preserve">One SCS delivers optimal performance per band or multiple bands. Hence, within intra-frequency framework HO between source and target cells with different SCS is not a practical situation to be considered. </w:t>
      </w:r>
    </w:p>
    <w:p w14:paraId="0D43DBA9" w14:textId="6C61630E" w:rsidR="0084172C" w:rsidRPr="002E267F" w:rsidRDefault="00A6621A" w:rsidP="00111DA9">
      <w:pPr>
        <w:rPr>
          <w:b/>
          <w:lang w:val="en-US"/>
        </w:rPr>
      </w:pPr>
      <w:r w:rsidRPr="002E267F">
        <w:rPr>
          <w:b/>
          <w:lang w:val="en-US"/>
        </w:rPr>
        <w:lastRenderedPageBreak/>
        <w:t>Observation 2. In FR1, inter-frequency intra-band:</w:t>
      </w:r>
    </w:p>
    <w:p w14:paraId="6F220499" w14:textId="4D579AA4" w:rsidR="00A6621A" w:rsidRPr="002E267F" w:rsidRDefault="00A6621A" w:rsidP="00A6621A">
      <w:pPr>
        <w:pStyle w:val="ListParagraph"/>
        <w:numPr>
          <w:ilvl w:val="0"/>
          <w:numId w:val="13"/>
        </w:numPr>
        <w:rPr>
          <w:b/>
          <w:sz w:val="20"/>
        </w:rPr>
      </w:pPr>
      <w:r w:rsidRPr="002E267F">
        <w:rPr>
          <w:b/>
          <w:sz w:val="20"/>
        </w:rPr>
        <w:t>Simultaneous Rx in synchronous case is possible with single Rx if carrier frequency separation and total BW of source/target cells are limited. With separate Rx chains, it is feasible for a DLCA capable UE if carrier frequency separation is beyond a TBD limit.</w:t>
      </w:r>
    </w:p>
    <w:p w14:paraId="34D470BA" w14:textId="5DC6F374" w:rsidR="00A6621A" w:rsidRPr="002E267F" w:rsidRDefault="00A6621A" w:rsidP="00A6621A">
      <w:pPr>
        <w:pStyle w:val="ListParagraph"/>
        <w:numPr>
          <w:ilvl w:val="0"/>
          <w:numId w:val="13"/>
        </w:numPr>
        <w:rPr>
          <w:b/>
          <w:sz w:val="20"/>
        </w:rPr>
      </w:pPr>
      <w:r w:rsidRPr="002E267F">
        <w:rPr>
          <w:b/>
          <w:sz w:val="20"/>
        </w:rPr>
        <w:t xml:space="preserve">Simultaneous Rx in asynchronous case is not possible with single Rx. It is possible with separate Rx chains if carrier frequency separation is beyond a TBD limit for a DC-capable UE. </w:t>
      </w:r>
    </w:p>
    <w:p w14:paraId="3476956A" w14:textId="0BDBCEF9" w:rsidR="00A6621A" w:rsidRPr="002E267F" w:rsidRDefault="002E267F" w:rsidP="00A6621A">
      <w:pPr>
        <w:pStyle w:val="ListParagraph"/>
        <w:numPr>
          <w:ilvl w:val="0"/>
          <w:numId w:val="13"/>
        </w:numPr>
        <w:rPr>
          <w:b/>
          <w:sz w:val="20"/>
        </w:rPr>
      </w:pPr>
      <w:r w:rsidRPr="002E267F">
        <w:rPr>
          <w:b/>
          <w:sz w:val="20"/>
        </w:rPr>
        <w:t>Simultaneous Tx in synchronous case is possible for ULCA capable UE with single Tx chain if MTTD is restricted (~0), PSD delta is limited and allocation in frequency domain is contiguous. With separate Tx chains, MTTD can be relaxed but PSD delta and MPR/A-MPR need further study.</w:t>
      </w:r>
    </w:p>
    <w:p w14:paraId="0A9FEDA4" w14:textId="1BE924AB" w:rsidR="002E267F" w:rsidRPr="002E267F" w:rsidRDefault="002E267F" w:rsidP="00A6621A">
      <w:pPr>
        <w:pStyle w:val="ListParagraph"/>
        <w:numPr>
          <w:ilvl w:val="0"/>
          <w:numId w:val="13"/>
        </w:numPr>
        <w:rPr>
          <w:b/>
          <w:sz w:val="20"/>
        </w:rPr>
      </w:pPr>
      <w:r w:rsidRPr="002E267F">
        <w:rPr>
          <w:b/>
          <w:sz w:val="20"/>
        </w:rPr>
        <w:t xml:space="preserve">Simultaneous Tx in asynchronous case is not possible with single Tx chain and is FFS for ULCA capable UE’s. </w:t>
      </w:r>
    </w:p>
    <w:p w14:paraId="302D8532" w14:textId="5D337C98" w:rsidR="002E267F" w:rsidRDefault="002E267F" w:rsidP="002E267F">
      <w:pPr>
        <w:pStyle w:val="ListParagraph"/>
        <w:numPr>
          <w:ilvl w:val="0"/>
          <w:numId w:val="13"/>
        </w:numPr>
        <w:rPr>
          <w:b/>
          <w:sz w:val="20"/>
        </w:rPr>
      </w:pPr>
      <w:r w:rsidRPr="002E267F">
        <w:rPr>
          <w:b/>
          <w:sz w:val="20"/>
        </w:rPr>
        <w:t xml:space="preserve">Different </w:t>
      </w:r>
      <w:r w:rsidR="00C07B03">
        <w:rPr>
          <w:b/>
          <w:sz w:val="20"/>
        </w:rPr>
        <w:t>numerology</w:t>
      </w:r>
      <w:r w:rsidRPr="002E267F">
        <w:rPr>
          <w:b/>
          <w:sz w:val="20"/>
        </w:rPr>
        <w:t xml:space="preserve"> is not a practical situation to be considered in intra-</w:t>
      </w:r>
      <w:r w:rsidR="00C07B03">
        <w:rPr>
          <w:b/>
          <w:sz w:val="20"/>
        </w:rPr>
        <w:t>band</w:t>
      </w:r>
      <w:r w:rsidRPr="002E267F">
        <w:rPr>
          <w:b/>
          <w:sz w:val="20"/>
        </w:rPr>
        <w:t xml:space="preserve"> scenarios.</w:t>
      </w:r>
    </w:p>
    <w:p w14:paraId="42A3E943" w14:textId="5C6F2812" w:rsidR="00F14A6D" w:rsidRPr="008E67D2" w:rsidRDefault="008E67D2" w:rsidP="00F14A6D">
      <w:pPr>
        <w:pStyle w:val="ListParagraph"/>
        <w:numPr>
          <w:ilvl w:val="0"/>
          <w:numId w:val="13"/>
        </w:numPr>
        <w:rPr>
          <w:b/>
          <w:sz w:val="20"/>
          <w:szCs w:val="20"/>
        </w:rPr>
      </w:pPr>
      <w:r w:rsidRPr="009A2790">
        <w:rPr>
          <w:b/>
          <w:sz w:val="20"/>
          <w:szCs w:val="20"/>
        </w:rPr>
        <w:t xml:space="preserve">Combination of supported source and target frequencies depend on UE’s band combination capabilities.  </w:t>
      </w:r>
    </w:p>
    <w:p w14:paraId="2D3DF239" w14:textId="3C823200" w:rsidR="00F14A6D" w:rsidRDefault="00F14A6D" w:rsidP="00F14A6D"/>
    <w:p w14:paraId="43C9FC74" w14:textId="6BA04EB9" w:rsidR="00F14A6D" w:rsidRDefault="00F14A6D" w:rsidP="00F14A6D">
      <w:pPr>
        <w:rPr>
          <w:rFonts w:ascii="Arial" w:hAnsi="Arial" w:cs="Arial"/>
          <w:b/>
          <w:sz w:val="24"/>
          <w:lang w:val="en-US"/>
        </w:rPr>
      </w:pPr>
      <w:r>
        <w:rPr>
          <w:rFonts w:ascii="Arial" w:hAnsi="Arial" w:cs="Arial"/>
          <w:b/>
          <w:sz w:val="24"/>
          <w:lang w:val="en-US"/>
        </w:rPr>
        <w:t>FR1 Inter-frequency Int</w:t>
      </w:r>
      <w:r w:rsidR="009A2790">
        <w:rPr>
          <w:rFonts w:ascii="Arial" w:hAnsi="Arial" w:cs="Arial"/>
          <w:b/>
          <w:sz w:val="24"/>
          <w:lang w:val="en-US"/>
        </w:rPr>
        <w:t>er</w:t>
      </w:r>
      <w:r>
        <w:rPr>
          <w:rFonts w:ascii="Arial" w:hAnsi="Arial" w:cs="Arial"/>
          <w:b/>
          <w:sz w:val="24"/>
          <w:lang w:val="en-US"/>
        </w:rPr>
        <w:t>-band:</w:t>
      </w:r>
    </w:p>
    <w:p w14:paraId="36E6C715" w14:textId="51693801" w:rsidR="00F14A6D" w:rsidRDefault="00F14A6D" w:rsidP="00F14A6D">
      <w:pPr>
        <w:rPr>
          <w:rFonts w:ascii="Arial" w:hAnsi="Arial" w:cs="Arial"/>
          <w:b/>
          <w:i/>
          <w:lang w:val="en-US"/>
        </w:rPr>
      </w:pPr>
      <w:r w:rsidRPr="00B777FB">
        <w:rPr>
          <w:rFonts w:ascii="Arial" w:hAnsi="Arial" w:cs="Arial"/>
          <w:b/>
          <w:i/>
          <w:lang w:val="en-US"/>
        </w:rPr>
        <w:t>Simultaneous Rx:</w:t>
      </w:r>
    </w:p>
    <w:p w14:paraId="046E0401" w14:textId="4B745BD7" w:rsidR="00F14A6D" w:rsidRDefault="00F14A6D" w:rsidP="00F14A6D">
      <w:r>
        <w:t xml:space="preserve">For synchronous scenarios, simultaneous Rx is feasible for DLCA capable UE’s with separate Rx chains and different or same </w:t>
      </w:r>
      <w:r w:rsidR="00D04F30">
        <w:t>numerology</w:t>
      </w:r>
      <w:r>
        <w:t xml:space="preserve"> between source and target cells.</w:t>
      </w:r>
    </w:p>
    <w:p w14:paraId="43969A2A" w14:textId="327C10A5" w:rsidR="00F14A6D" w:rsidRDefault="00F14A6D" w:rsidP="00F14A6D">
      <w:r>
        <w:t xml:space="preserve">For asynchronous scenarios, simultaneous Rx is feasible for DC capable UE’s with separate Rx chains and different or same </w:t>
      </w:r>
      <w:r w:rsidR="00D04F30">
        <w:t>numerology</w:t>
      </w:r>
      <w:r>
        <w:t xml:space="preserve"> between source and target cells.</w:t>
      </w:r>
    </w:p>
    <w:p w14:paraId="7F08C6DF" w14:textId="065C5CB9" w:rsidR="009B04FC" w:rsidRPr="009B04FC" w:rsidRDefault="009B04FC" w:rsidP="00F14A6D">
      <w:pPr>
        <w:rPr>
          <w:lang w:val="en-US"/>
        </w:rPr>
      </w:pPr>
      <w:r>
        <w:rPr>
          <w:lang w:val="en-US"/>
        </w:rPr>
        <w:t xml:space="preserve">Combinations of supported source and target frequencies depend on UE’s band combination capabilities.  </w:t>
      </w:r>
    </w:p>
    <w:p w14:paraId="6E7CB6E0" w14:textId="7C6A45B9" w:rsidR="00F14A6D" w:rsidRDefault="00F14A6D" w:rsidP="00F14A6D">
      <w:pPr>
        <w:rPr>
          <w:rFonts w:ascii="Arial" w:hAnsi="Arial" w:cs="Arial"/>
          <w:b/>
          <w:i/>
          <w:lang w:val="en-US"/>
        </w:rPr>
      </w:pPr>
      <w:r w:rsidRPr="00B777FB">
        <w:rPr>
          <w:rFonts w:ascii="Arial" w:hAnsi="Arial" w:cs="Arial"/>
          <w:b/>
          <w:i/>
          <w:lang w:val="en-US"/>
        </w:rPr>
        <w:t xml:space="preserve">Simultaneous </w:t>
      </w:r>
      <w:r>
        <w:rPr>
          <w:rFonts w:ascii="Arial" w:hAnsi="Arial" w:cs="Arial"/>
          <w:b/>
          <w:i/>
          <w:lang w:val="en-US"/>
        </w:rPr>
        <w:t>T</w:t>
      </w:r>
      <w:r w:rsidRPr="00B777FB">
        <w:rPr>
          <w:rFonts w:ascii="Arial" w:hAnsi="Arial" w:cs="Arial"/>
          <w:b/>
          <w:i/>
          <w:lang w:val="en-US"/>
        </w:rPr>
        <w:t>x:</w:t>
      </w:r>
    </w:p>
    <w:p w14:paraId="69C4F3CD" w14:textId="3F13E8E4" w:rsidR="00F14A6D" w:rsidRDefault="00F14A6D" w:rsidP="00F14A6D">
      <w:r>
        <w:t xml:space="preserve">For synchronous scenarios, simultaneous Tx is feasible for </w:t>
      </w:r>
      <w:proofErr w:type="spellStart"/>
      <w:r>
        <w:t>ULCA+mTAG</w:t>
      </w:r>
      <w:proofErr w:type="spellEnd"/>
      <w:r>
        <w:t xml:space="preserve"> capable UE’s with separate Tx chains and different or same </w:t>
      </w:r>
      <w:r w:rsidR="00B76D4F">
        <w:t>numerology</w:t>
      </w:r>
      <w:r>
        <w:t xml:space="preserve"> between source and target cells.</w:t>
      </w:r>
    </w:p>
    <w:p w14:paraId="64C7D3DF" w14:textId="075C1B59" w:rsidR="00EA6369" w:rsidRDefault="00F14A6D" w:rsidP="00F14A6D">
      <w:r>
        <w:t>For asynchronous scenarios, simultaneous Tx is feasible for DC capable</w:t>
      </w:r>
      <w:r w:rsidR="00EA6369">
        <w:t xml:space="preserve"> UE’s</w:t>
      </w:r>
      <w:r w:rsidR="00B76D4F">
        <w:t xml:space="preserve"> and different or same numerology between source and target cells</w:t>
      </w:r>
      <w:r w:rsidR="00EA6369">
        <w:t xml:space="preserve">. </w:t>
      </w:r>
    </w:p>
    <w:p w14:paraId="4D904940" w14:textId="400829D9" w:rsidR="007A7B00" w:rsidRPr="007A7B00" w:rsidRDefault="007A7B00" w:rsidP="00F14A6D">
      <w:pPr>
        <w:rPr>
          <w:lang w:val="en-US"/>
        </w:rPr>
      </w:pPr>
      <w:r>
        <w:rPr>
          <w:lang w:val="en-US"/>
        </w:rPr>
        <w:t xml:space="preserve">Combinations of supported source and target frequencies depend on UE’s band combination capabilities.  </w:t>
      </w:r>
    </w:p>
    <w:p w14:paraId="4AC41688" w14:textId="77777777" w:rsidR="00EA6369" w:rsidRPr="00EA6369" w:rsidRDefault="00EA6369" w:rsidP="00F14A6D">
      <w:pPr>
        <w:rPr>
          <w:b/>
        </w:rPr>
      </w:pPr>
      <w:r w:rsidRPr="00EA6369">
        <w:rPr>
          <w:b/>
        </w:rPr>
        <w:t>Observation 3. For F1 inter-frequency inter-band:</w:t>
      </w:r>
    </w:p>
    <w:p w14:paraId="3A26A738" w14:textId="02FECDED" w:rsidR="00EA6369" w:rsidRPr="00EA6369" w:rsidRDefault="00EA6369" w:rsidP="00EA6369">
      <w:pPr>
        <w:pStyle w:val="ListParagraph"/>
        <w:numPr>
          <w:ilvl w:val="0"/>
          <w:numId w:val="14"/>
        </w:numPr>
        <w:rPr>
          <w:b/>
          <w:sz w:val="20"/>
        </w:rPr>
      </w:pPr>
      <w:r w:rsidRPr="00EA6369">
        <w:rPr>
          <w:b/>
          <w:sz w:val="20"/>
        </w:rPr>
        <w:t xml:space="preserve">For synchronous scenarios, simultaneous Rx is feasible for DLCA capable UE’s with separate Rx chains and different or same </w:t>
      </w:r>
      <w:r w:rsidR="009A5693">
        <w:rPr>
          <w:b/>
          <w:sz w:val="20"/>
        </w:rPr>
        <w:t>numerology</w:t>
      </w:r>
      <w:r w:rsidRPr="00EA6369">
        <w:rPr>
          <w:b/>
          <w:sz w:val="20"/>
        </w:rPr>
        <w:t xml:space="preserve"> between source and target cells.</w:t>
      </w:r>
    </w:p>
    <w:p w14:paraId="77E9D626" w14:textId="1EF1A7E9" w:rsidR="00EA6369" w:rsidRPr="00EA6369" w:rsidRDefault="00EA6369" w:rsidP="00EA6369">
      <w:pPr>
        <w:pStyle w:val="ListParagraph"/>
        <w:numPr>
          <w:ilvl w:val="0"/>
          <w:numId w:val="14"/>
        </w:numPr>
        <w:rPr>
          <w:b/>
          <w:sz w:val="20"/>
        </w:rPr>
      </w:pPr>
      <w:r w:rsidRPr="00EA6369">
        <w:rPr>
          <w:b/>
          <w:sz w:val="20"/>
        </w:rPr>
        <w:t xml:space="preserve">For asynchronous scenarios, simultaneous Rx is feasible for DC capable UE’s with separate Rx chains and different or same </w:t>
      </w:r>
      <w:r w:rsidR="009A5693">
        <w:rPr>
          <w:b/>
          <w:sz w:val="20"/>
        </w:rPr>
        <w:t>numerology</w:t>
      </w:r>
      <w:r w:rsidRPr="00EA6369">
        <w:rPr>
          <w:b/>
          <w:sz w:val="20"/>
        </w:rPr>
        <w:t xml:space="preserve"> between source and target cells.</w:t>
      </w:r>
    </w:p>
    <w:p w14:paraId="430601F0" w14:textId="6AA473E0" w:rsidR="00EA6369" w:rsidRPr="00EA6369" w:rsidRDefault="00EA6369" w:rsidP="00EA6369">
      <w:pPr>
        <w:pStyle w:val="ListParagraph"/>
        <w:numPr>
          <w:ilvl w:val="0"/>
          <w:numId w:val="14"/>
        </w:numPr>
        <w:rPr>
          <w:b/>
          <w:sz w:val="20"/>
        </w:rPr>
      </w:pPr>
      <w:r w:rsidRPr="00EA6369">
        <w:rPr>
          <w:b/>
          <w:sz w:val="20"/>
        </w:rPr>
        <w:t xml:space="preserve">For synchronous scenarios, simultaneous Tx is feasible for </w:t>
      </w:r>
      <w:proofErr w:type="spellStart"/>
      <w:r w:rsidRPr="00EA6369">
        <w:rPr>
          <w:b/>
          <w:sz w:val="20"/>
        </w:rPr>
        <w:t>ULCA+mTAG</w:t>
      </w:r>
      <w:proofErr w:type="spellEnd"/>
      <w:r w:rsidRPr="00EA6369">
        <w:rPr>
          <w:b/>
          <w:sz w:val="20"/>
        </w:rPr>
        <w:t xml:space="preserve"> capable UE’s with separate Tx chains and different or same </w:t>
      </w:r>
      <w:r w:rsidR="009A5693">
        <w:rPr>
          <w:b/>
          <w:sz w:val="20"/>
        </w:rPr>
        <w:t>numerology</w:t>
      </w:r>
      <w:r w:rsidRPr="00EA6369">
        <w:rPr>
          <w:b/>
          <w:sz w:val="20"/>
        </w:rPr>
        <w:t xml:space="preserve"> between source and target cells.</w:t>
      </w:r>
    </w:p>
    <w:p w14:paraId="58852170" w14:textId="5A7E3FCC" w:rsidR="00EA6369" w:rsidRDefault="00EA6369" w:rsidP="00EA6369">
      <w:pPr>
        <w:pStyle w:val="ListParagraph"/>
        <w:numPr>
          <w:ilvl w:val="0"/>
          <w:numId w:val="14"/>
        </w:numPr>
        <w:rPr>
          <w:b/>
          <w:sz w:val="20"/>
        </w:rPr>
      </w:pPr>
      <w:r w:rsidRPr="00EA6369">
        <w:rPr>
          <w:b/>
          <w:sz w:val="20"/>
        </w:rPr>
        <w:t>For asynchronous scenarios, simultaneous Tx is feasible for DC capable UE’s</w:t>
      </w:r>
      <w:r w:rsidR="009A5693">
        <w:rPr>
          <w:b/>
          <w:sz w:val="20"/>
        </w:rPr>
        <w:t xml:space="preserve"> </w:t>
      </w:r>
      <w:r w:rsidR="009A5693" w:rsidRPr="00EA6369">
        <w:rPr>
          <w:b/>
          <w:sz w:val="20"/>
        </w:rPr>
        <w:t xml:space="preserve">and different or same </w:t>
      </w:r>
      <w:r w:rsidR="009A5693">
        <w:rPr>
          <w:b/>
          <w:sz w:val="20"/>
        </w:rPr>
        <w:t>numerology</w:t>
      </w:r>
      <w:r w:rsidR="009A5693" w:rsidRPr="00EA6369">
        <w:rPr>
          <w:b/>
          <w:sz w:val="20"/>
        </w:rPr>
        <w:t xml:space="preserve"> between source and target cells</w:t>
      </w:r>
      <w:r w:rsidRPr="00EA6369">
        <w:rPr>
          <w:b/>
          <w:sz w:val="20"/>
        </w:rPr>
        <w:t xml:space="preserve">. </w:t>
      </w:r>
    </w:p>
    <w:p w14:paraId="2D330E13" w14:textId="771734A8" w:rsidR="009A2790" w:rsidRPr="009A2790" w:rsidRDefault="009A2790" w:rsidP="00EA6369">
      <w:pPr>
        <w:pStyle w:val="ListParagraph"/>
        <w:numPr>
          <w:ilvl w:val="0"/>
          <w:numId w:val="14"/>
        </w:numPr>
        <w:rPr>
          <w:b/>
          <w:sz w:val="20"/>
          <w:szCs w:val="20"/>
        </w:rPr>
      </w:pPr>
      <w:r w:rsidRPr="009A2790">
        <w:rPr>
          <w:b/>
          <w:sz w:val="20"/>
          <w:szCs w:val="20"/>
        </w:rPr>
        <w:t xml:space="preserve">Combination of supported source and target frequencies depend on UE’s band combination capabilities.  </w:t>
      </w:r>
    </w:p>
    <w:p w14:paraId="2F7C6977" w14:textId="6A865144" w:rsidR="00EA6369" w:rsidRDefault="00EA6369" w:rsidP="00EA6369">
      <w:pPr>
        <w:rPr>
          <w:b/>
        </w:rPr>
      </w:pPr>
    </w:p>
    <w:p w14:paraId="56EAF41B" w14:textId="4167DFF8" w:rsidR="00EA6369" w:rsidRDefault="00EA6369" w:rsidP="00EA6369">
      <w:pPr>
        <w:rPr>
          <w:rFonts w:ascii="Arial" w:hAnsi="Arial" w:cs="Arial"/>
          <w:b/>
          <w:sz w:val="24"/>
          <w:lang w:val="en-US"/>
        </w:rPr>
      </w:pPr>
      <w:r>
        <w:rPr>
          <w:rFonts w:ascii="Arial" w:hAnsi="Arial" w:cs="Arial"/>
          <w:b/>
          <w:sz w:val="24"/>
          <w:lang w:val="en-US"/>
        </w:rPr>
        <w:t>FR2 Inter-frequency Intra-band or Intra-frequency:</w:t>
      </w:r>
    </w:p>
    <w:p w14:paraId="4907F82C" w14:textId="56ECB621" w:rsidR="00EA6369" w:rsidRDefault="00EA6369" w:rsidP="00EA6369">
      <w:r>
        <w:t>For FR2 inter-frequency intra-band or intra-frequency, synchronous deployment is assumed. It is also assumed that source and target cells are non-co-located (and therefore non-</w:t>
      </w:r>
      <w:proofErr w:type="spellStart"/>
      <w:r>
        <w:t>QCL’ed</w:t>
      </w:r>
      <w:proofErr w:type="spellEnd"/>
      <w:r>
        <w:t xml:space="preserve">). </w:t>
      </w:r>
      <w:r w:rsidR="001E0D36">
        <w:t xml:space="preserve">Furthermore, one numerology delivers the best performance per band or multiple bands. Hence, </w:t>
      </w:r>
      <w:r w:rsidR="00B67665">
        <w:t>in</w:t>
      </w:r>
      <w:r w:rsidR="001E0D36">
        <w:t xml:space="preserve"> </w:t>
      </w:r>
      <w:r w:rsidR="00B67665">
        <w:t xml:space="preserve">FR2 </w:t>
      </w:r>
      <w:r w:rsidR="001E0D36">
        <w:t>intra-frequency and inter-frequency intra-band</w:t>
      </w:r>
      <w:r w:rsidR="00B67665">
        <w:t xml:space="preserve">, different numerology between source and target cells is not of practical consideration. </w:t>
      </w:r>
    </w:p>
    <w:p w14:paraId="37E3AA97" w14:textId="52386ABF" w:rsidR="00EA6369" w:rsidRDefault="00EA6369" w:rsidP="00EA6369">
      <w:pPr>
        <w:rPr>
          <w:rFonts w:ascii="Arial" w:hAnsi="Arial" w:cs="Arial"/>
          <w:b/>
          <w:sz w:val="24"/>
          <w:lang w:val="en-US"/>
        </w:rPr>
      </w:pPr>
      <w:r>
        <w:t xml:space="preserve">For simultaneous Rx, UE needs to support reception of two </w:t>
      </w:r>
      <w:proofErr w:type="spellStart"/>
      <w:r>
        <w:t>gNB</w:t>
      </w:r>
      <w:proofErr w:type="spellEnd"/>
      <w:r>
        <w:t xml:space="preserve"> beams simultaneously with separate Rx chains and </w:t>
      </w:r>
      <w:r w:rsidR="00B67665">
        <w:t>multi-TRP capability which is under discussion in Rel-16</w:t>
      </w:r>
      <w:r w:rsidR="00706272">
        <w:t xml:space="preserve">. </w:t>
      </w:r>
      <w:r>
        <w:t xml:space="preserve"> </w:t>
      </w:r>
    </w:p>
    <w:p w14:paraId="656A2828" w14:textId="24C2EF7C" w:rsidR="00706272" w:rsidRDefault="00706272" w:rsidP="00B67665">
      <w:r>
        <w:t xml:space="preserve">For simultaneous Tx, </w:t>
      </w:r>
      <w:r w:rsidR="00B67665">
        <w:t>the topic is currently under discussion in RAN1</w:t>
      </w:r>
      <w:r>
        <w:t xml:space="preserve">. </w:t>
      </w:r>
    </w:p>
    <w:p w14:paraId="02AC7F89" w14:textId="00F950DD" w:rsidR="00706272" w:rsidRPr="00093438" w:rsidRDefault="00093438" w:rsidP="00EA6369">
      <w:pPr>
        <w:rPr>
          <w:b/>
        </w:rPr>
      </w:pPr>
      <w:r w:rsidRPr="00093438">
        <w:rPr>
          <w:b/>
        </w:rPr>
        <w:lastRenderedPageBreak/>
        <w:t>Observation 4. For FR2 inter-frequency intra-band or intra-frequency:</w:t>
      </w:r>
    </w:p>
    <w:p w14:paraId="779FDD69" w14:textId="5B08EBED" w:rsidR="00093438" w:rsidRDefault="00093438" w:rsidP="00093438">
      <w:pPr>
        <w:pStyle w:val="ListParagraph"/>
        <w:numPr>
          <w:ilvl w:val="0"/>
          <w:numId w:val="15"/>
        </w:numPr>
        <w:rPr>
          <w:b/>
          <w:sz w:val="20"/>
          <w:szCs w:val="20"/>
        </w:rPr>
      </w:pPr>
      <w:r w:rsidRPr="00093438">
        <w:rPr>
          <w:b/>
          <w:sz w:val="20"/>
          <w:szCs w:val="20"/>
        </w:rPr>
        <w:t>Synchronous deployment is assumed</w:t>
      </w:r>
      <w:r w:rsidR="00B67665">
        <w:rPr>
          <w:b/>
          <w:sz w:val="20"/>
          <w:szCs w:val="20"/>
        </w:rPr>
        <w:t xml:space="preserve">. </w:t>
      </w:r>
    </w:p>
    <w:p w14:paraId="004FD8F7" w14:textId="76CE84D7" w:rsidR="00B67665" w:rsidRPr="00B67665" w:rsidRDefault="00B67665" w:rsidP="00093438">
      <w:pPr>
        <w:pStyle w:val="ListParagraph"/>
        <w:numPr>
          <w:ilvl w:val="0"/>
          <w:numId w:val="15"/>
        </w:numPr>
        <w:rPr>
          <w:b/>
          <w:sz w:val="20"/>
          <w:szCs w:val="20"/>
        </w:rPr>
      </w:pPr>
      <w:r w:rsidRPr="00B67665">
        <w:rPr>
          <w:b/>
          <w:sz w:val="20"/>
          <w:szCs w:val="20"/>
        </w:rPr>
        <w:t>Different numerology between source and target cells is not of practical consideration.</w:t>
      </w:r>
    </w:p>
    <w:p w14:paraId="6D94D741" w14:textId="77777777" w:rsidR="00B67665" w:rsidRPr="00B67665" w:rsidRDefault="00B67665" w:rsidP="00B67665">
      <w:pPr>
        <w:pStyle w:val="ListParagraph"/>
        <w:numPr>
          <w:ilvl w:val="0"/>
          <w:numId w:val="15"/>
        </w:numPr>
        <w:contextualSpacing w:val="0"/>
        <w:rPr>
          <w:b/>
          <w:sz w:val="20"/>
          <w:szCs w:val="20"/>
        </w:rPr>
      </w:pPr>
      <w:r w:rsidRPr="00B67665">
        <w:rPr>
          <w:b/>
          <w:sz w:val="20"/>
          <w:szCs w:val="20"/>
        </w:rPr>
        <w:t>Simultaneous Rx is possible for UE w/ separate Rx chains and Rel.16 multi-TRP capability</w:t>
      </w:r>
    </w:p>
    <w:p w14:paraId="0212BAB3" w14:textId="77777777" w:rsidR="00B67665" w:rsidRPr="00B67665" w:rsidRDefault="00B67665" w:rsidP="00B67665">
      <w:pPr>
        <w:pStyle w:val="ListParagraph"/>
        <w:numPr>
          <w:ilvl w:val="0"/>
          <w:numId w:val="15"/>
        </w:numPr>
        <w:contextualSpacing w:val="0"/>
        <w:rPr>
          <w:b/>
          <w:sz w:val="20"/>
          <w:szCs w:val="20"/>
        </w:rPr>
      </w:pPr>
      <w:r w:rsidRPr="00B67665">
        <w:rPr>
          <w:b/>
          <w:sz w:val="20"/>
          <w:szCs w:val="20"/>
        </w:rPr>
        <w:t>Simultaneous Tx is under discussion in RAN1</w:t>
      </w:r>
    </w:p>
    <w:p w14:paraId="3F56DCDC" w14:textId="77777777" w:rsidR="00F65FAD" w:rsidRPr="00F65FAD" w:rsidRDefault="00F65FAD" w:rsidP="00F65FAD">
      <w:pPr>
        <w:rPr>
          <w:b/>
          <w:sz w:val="16"/>
        </w:rPr>
      </w:pPr>
    </w:p>
    <w:p w14:paraId="4F5F712B" w14:textId="77777777" w:rsidR="00093438" w:rsidRPr="00093438" w:rsidRDefault="00093438" w:rsidP="00093438">
      <w:pPr>
        <w:pStyle w:val="ListParagraph"/>
        <w:rPr>
          <w:rFonts w:ascii="Arial" w:hAnsi="Arial" w:cs="Arial"/>
          <w:b/>
          <w:sz w:val="16"/>
        </w:rPr>
      </w:pPr>
    </w:p>
    <w:p w14:paraId="0E0CF714" w14:textId="48C0691B" w:rsidR="00F14A6D" w:rsidRPr="00093438" w:rsidRDefault="00F14A6D" w:rsidP="00EA6369">
      <w:pPr>
        <w:pStyle w:val="ListParagraph"/>
        <w:ind w:left="765"/>
        <w:rPr>
          <w:sz w:val="20"/>
        </w:rPr>
      </w:pPr>
    </w:p>
    <w:p w14:paraId="05109B46" w14:textId="3CC297FA" w:rsidR="00F2107A" w:rsidRDefault="0032488E" w:rsidP="005D6C7D">
      <w:pPr>
        <w:pStyle w:val="Heading1"/>
        <w:rPr>
          <w:lang w:val="en-US"/>
        </w:rPr>
      </w:pPr>
      <w:r>
        <w:rPr>
          <w:lang w:val="en-US"/>
        </w:rPr>
        <w:t>Con</w:t>
      </w:r>
      <w:r w:rsidR="00F2107A">
        <w:rPr>
          <w:lang w:val="en-US"/>
        </w:rPr>
        <w:t>clusions</w:t>
      </w:r>
    </w:p>
    <w:p w14:paraId="7C823933" w14:textId="77777777" w:rsidR="00F65FAD" w:rsidRPr="0084172C" w:rsidRDefault="00F65FAD" w:rsidP="00F65FAD">
      <w:pPr>
        <w:rPr>
          <w:b/>
          <w:lang w:val="en-US"/>
        </w:rPr>
      </w:pPr>
      <w:r w:rsidRPr="0084172C">
        <w:rPr>
          <w:b/>
          <w:lang w:val="en-US"/>
        </w:rPr>
        <w:t>Observation 1. In FR1 intra-frequency:</w:t>
      </w:r>
    </w:p>
    <w:p w14:paraId="2AD95862" w14:textId="7A16E56E" w:rsidR="00F65FAD" w:rsidRPr="00EE5B7E" w:rsidRDefault="00F65FAD" w:rsidP="00EE5B7E">
      <w:pPr>
        <w:pStyle w:val="ListParagraph"/>
        <w:numPr>
          <w:ilvl w:val="0"/>
          <w:numId w:val="12"/>
        </w:numPr>
        <w:rPr>
          <w:b/>
          <w:sz w:val="20"/>
          <w:szCs w:val="20"/>
        </w:rPr>
      </w:pPr>
      <w:r w:rsidRPr="0084172C">
        <w:rPr>
          <w:b/>
          <w:sz w:val="20"/>
        </w:rPr>
        <w:t>Simultaneous Rx in synchronous case is possible with single Rx or separate Rx chains. In single Rx, received timing difference and power difference must be limited</w:t>
      </w:r>
      <w:proofErr w:type="gramStart"/>
      <w:r w:rsidRPr="0084172C">
        <w:rPr>
          <w:b/>
          <w:sz w:val="20"/>
        </w:rPr>
        <w:t>.</w:t>
      </w:r>
      <w:r w:rsidR="00EE5B7E">
        <w:rPr>
          <w:b/>
          <w:sz w:val="20"/>
        </w:rPr>
        <w:t xml:space="preserve"> </w:t>
      </w:r>
      <w:r w:rsidR="00EE5B7E" w:rsidRPr="00EE5B7E">
        <w:rPr>
          <w:b/>
          <w:sz w:val="20"/>
          <w:szCs w:val="20"/>
        </w:rPr>
        <w:t>.</w:t>
      </w:r>
      <w:proofErr w:type="gramEnd"/>
      <w:r w:rsidR="00EE5B7E" w:rsidRPr="00EE5B7E">
        <w:rPr>
          <w:b/>
          <w:sz w:val="20"/>
          <w:szCs w:val="20"/>
        </w:rPr>
        <w:t xml:space="preserve"> Source cell active DL BWP contains target cell active DL BWP, and source cell BW contains target cell BW.</w:t>
      </w:r>
    </w:p>
    <w:p w14:paraId="6F206F01" w14:textId="77777777" w:rsidR="00F65FAD" w:rsidRPr="0084172C" w:rsidRDefault="00F65FAD" w:rsidP="00F65FAD">
      <w:pPr>
        <w:pStyle w:val="ListParagraph"/>
        <w:numPr>
          <w:ilvl w:val="0"/>
          <w:numId w:val="12"/>
        </w:numPr>
        <w:rPr>
          <w:b/>
          <w:sz w:val="20"/>
        </w:rPr>
      </w:pPr>
      <w:r w:rsidRPr="0084172C">
        <w:rPr>
          <w:b/>
          <w:sz w:val="20"/>
        </w:rPr>
        <w:t>Simultaneous Rx in asynchronous case is possible with separate Rx chains for a UE with DC capability.</w:t>
      </w:r>
    </w:p>
    <w:p w14:paraId="4A4F7D89" w14:textId="7085F8CD" w:rsidR="00F65FAD" w:rsidRPr="00EE5B7E" w:rsidRDefault="00F65FAD" w:rsidP="00EE5B7E">
      <w:pPr>
        <w:pStyle w:val="ListParagraph"/>
        <w:numPr>
          <w:ilvl w:val="0"/>
          <w:numId w:val="12"/>
        </w:numPr>
        <w:rPr>
          <w:b/>
          <w:sz w:val="20"/>
          <w:szCs w:val="20"/>
        </w:rPr>
      </w:pPr>
      <w:r w:rsidRPr="0084172C">
        <w:rPr>
          <w:b/>
          <w:sz w:val="20"/>
        </w:rPr>
        <w:t>Simultaneous Tx in synchronous case is possible with separate Tx chains and UE’s with UL-MIMO capability with considerations on PSD difference and MPR/A-MPR. With single Tx chain, simultaneous Tx may be possible with limitations on same waveform, PRB allocation, MTTD.</w:t>
      </w:r>
      <w:r w:rsidR="00EE5B7E">
        <w:rPr>
          <w:b/>
          <w:sz w:val="20"/>
        </w:rPr>
        <w:t xml:space="preserve"> </w:t>
      </w:r>
      <w:r w:rsidR="00EE5B7E" w:rsidRPr="00EE5B7E">
        <w:rPr>
          <w:b/>
          <w:sz w:val="20"/>
          <w:szCs w:val="20"/>
        </w:rPr>
        <w:t>Furthermore, source cell active UL BWP contains target cell active UL BWP and source cell BW contains target cell BW.</w:t>
      </w:r>
      <w:bookmarkStart w:id="0" w:name="_GoBack"/>
      <w:bookmarkEnd w:id="0"/>
    </w:p>
    <w:p w14:paraId="668FDA7E" w14:textId="77777777" w:rsidR="00F65FAD" w:rsidRPr="0084172C" w:rsidRDefault="00F65FAD" w:rsidP="00F65FAD">
      <w:pPr>
        <w:pStyle w:val="ListParagraph"/>
        <w:numPr>
          <w:ilvl w:val="0"/>
          <w:numId w:val="12"/>
        </w:numPr>
        <w:rPr>
          <w:b/>
          <w:sz w:val="20"/>
        </w:rPr>
      </w:pPr>
      <w:r w:rsidRPr="0084172C">
        <w:rPr>
          <w:b/>
          <w:sz w:val="20"/>
        </w:rPr>
        <w:t xml:space="preserve">Simultaneous Tx in asynchronous case is not possible with single Tx chain and is FFS for UE’s with ULCA capability (e.g., MTTD needs to be relaxed which impacts inter-mod IM impairment). </w:t>
      </w:r>
    </w:p>
    <w:p w14:paraId="37BDF8ED" w14:textId="53FE538A" w:rsidR="00F65FAD" w:rsidRPr="0084172C" w:rsidRDefault="00F65FAD" w:rsidP="00F65FAD">
      <w:pPr>
        <w:pStyle w:val="ListParagraph"/>
        <w:numPr>
          <w:ilvl w:val="0"/>
          <w:numId w:val="12"/>
        </w:numPr>
        <w:rPr>
          <w:b/>
          <w:sz w:val="20"/>
        </w:rPr>
      </w:pPr>
      <w:r w:rsidRPr="0084172C">
        <w:rPr>
          <w:b/>
          <w:sz w:val="20"/>
        </w:rPr>
        <w:t xml:space="preserve">Different </w:t>
      </w:r>
      <w:r w:rsidR="00C07B03">
        <w:rPr>
          <w:b/>
          <w:sz w:val="20"/>
        </w:rPr>
        <w:t>numerology</w:t>
      </w:r>
      <w:r w:rsidRPr="0084172C">
        <w:rPr>
          <w:b/>
          <w:sz w:val="20"/>
        </w:rPr>
        <w:t xml:space="preserve"> is not a practical situation to be considered in intra-frequency scenarios.</w:t>
      </w:r>
    </w:p>
    <w:p w14:paraId="104D31F5" w14:textId="77777777" w:rsidR="00F65FAD" w:rsidRPr="00F65FAD" w:rsidRDefault="00F65FAD" w:rsidP="00F65FAD">
      <w:pPr>
        <w:rPr>
          <w:lang w:val="en-US"/>
        </w:rPr>
      </w:pPr>
    </w:p>
    <w:p w14:paraId="57211C92" w14:textId="77777777" w:rsidR="00F65FAD" w:rsidRPr="002E267F" w:rsidRDefault="00F65FAD" w:rsidP="00F65FAD">
      <w:pPr>
        <w:rPr>
          <w:b/>
          <w:lang w:val="en-US"/>
        </w:rPr>
      </w:pPr>
      <w:r w:rsidRPr="002E267F">
        <w:rPr>
          <w:b/>
          <w:lang w:val="en-US"/>
        </w:rPr>
        <w:t>Observation 2. In FR1, inter-frequency intra-band:</w:t>
      </w:r>
    </w:p>
    <w:p w14:paraId="2C51E7C7" w14:textId="77777777" w:rsidR="00F65FAD" w:rsidRPr="002E267F" w:rsidRDefault="00F65FAD" w:rsidP="00F65FAD">
      <w:pPr>
        <w:pStyle w:val="ListParagraph"/>
        <w:numPr>
          <w:ilvl w:val="0"/>
          <w:numId w:val="13"/>
        </w:numPr>
        <w:rPr>
          <w:b/>
          <w:sz w:val="20"/>
        </w:rPr>
      </w:pPr>
      <w:r w:rsidRPr="002E267F">
        <w:rPr>
          <w:b/>
          <w:sz w:val="20"/>
        </w:rPr>
        <w:t>Simultaneous Rx in synchronous case is possible with single Rx if carrier frequency separation and total BW of source/target cells are limited. With separate Rx chains, it is feasible for a DLCA capable UE if carrier frequency separation is beyond a TBD limit.</w:t>
      </w:r>
    </w:p>
    <w:p w14:paraId="5D3595DB" w14:textId="77777777" w:rsidR="00F65FAD" w:rsidRPr="002E267F" w:rsidRDefault="00F65FAD" w:rsidP="00F65FAD">
      <w:pPr>
        <w:pStyle w:val="ListParagraph"/>
        <w:numPr>
          <w:ilvl w:val="0"/>
          <w:numId w:val="13"/>
        </w:numPr>
        <w:rPr>
          <w:b/>
          <w:sz w:val="20"/>
        </w:rPr>
      </w:pPr>
      <w:r w:rsidRPr="002E267F">
        <w:rPr>
          <w:b/>
          <w:sz w:val="20"/>
        </w:rPr>
        <w:t xml:space="preserve">Simultaneous Rx in asynchronous case is not possible with single Rx. It is possible with separate Rx chains if carrier frequency separation is beyond a TBD limit for a DC-capable UE. </w:t>
      </w:r>
    </w:p>
    <w:p w14:paraId="6BC2E738" w14:textId="77777777" w:rsidR="00F65FAD" w:rsidRPr="002E267F" w:rsidRDefault="00F65FAD" w:rsidP="00F65FAD">
      <w:pPr>
        <w:pStyle w:val="ListParagraph"/>
        <w:numPr>
          <w:ilvl w:val="0"/>
          <w:numId w:val="13"/>
        </w:numPr>
        <w:rPr>
          <w:b/>
          <w:sz w:val="20"/>
        </w:rPr>
      </w:pPr>
      <w:r w:rsidRPr="002E267F">
        <w:rPr>
          <w:b/>
          <w:sz w:val="20"/>
        </w:rPr>
        <w:t>Simultaneous Tx in synchronous case is possible for ULCA capable UE with single Tx chain if MTTD is restricted (~0), PSD delta is limited and allocation in frequency domain is contiguous. With separate Tx chains, MTTD can be relaxed but PSD delta and MPR/A-MPR need further study.</w:t>
      </w:r>
    </w:p>
    <w:p w14:paraId="2F2D486E" w14:textId="77777777" w:rsidR="00F65FAD" w:rsidRPr="002E267F" w:rsidRDefault="00F65FAD" w:rsidP="00F65FAD">
      <w:pPr>
        <w:pStyle w:val="ListParagraph"/>
        <w:numPr>
          <w:ilvl w:val="0"/>
          <w:numId w:val="13"/>
        </w:numPr>
        <w:rPr>
          <w:b/>
          <w:sz w:val="20"/>
        </w:rPr>
      </w:pPr>
      <w:r w:rsidRPr="002E267F">
        <w:rPr>
          <w:b/>
          <w:sz w:val="20"/>
        </w:rPr>
        <w:t xml:space="preserve">Simultaneous Tx in asynchronous case is not possible with single Tx chain and is FFS for ULCA capable UE’s. </w:t>
      </w:r>
    </w:p>
    <w:p w14:paraId="7D75122E" w14:textId="4E8BE2E2" w:rsidR="00F65FAD" w:rsidRDefault="00F65FAD" w:rsidP="00F65FAD">
      <w:pPr>
        <w:pStyle w:val="ListParagraph"/>
        <w:numPr>
          <w:ilvl w:val="0"/>
          <w:numId w:val="13"/>
        </w:numPr>
        <w:rPr>
          <w:b/>
          <w:sz w:val="20"/>
        </w:rPr>
      </w:pPr>
      <w:r w:rsidRPr="002E267F">
        <w:rPr>
          <w:b/>
          <w:sz w:val="20"/>
        </w:rPr>
        <w:t xml:space="preserve">Different </w:t>
      </w:r>
      <w:r w:rsidR="00C07B03">
        <w:rPr>
          <w:b/>
          <w:sz w:val="20"/>
        </w:rPr>
        <w:t>numerology</w:t>
      </w:r>
      <w:r w:rsidRPr="002E267F">
        <w:rPr>
          <w:b/>
          <w:sz w:val="20"/>
        </w:rPr>
        <w:t xml:space="preserve"> is not a practical situation to be considered in intra-</w:t>
      </w:r>
      <w:r w:rsidR="00C07B03">
        <w:rPr>
          <w:b/>
          <w:sz w:val="20"/>
        </w:rPr>
        <w:t>band</w:t>
      </w:r>
      <w:r w:rsidRPr="002E267F">
        <w:rPr>
          <w:b/>
          <w:sz w:val="20"/>
        </w:rPr>
        <w:t xml:space="preserve"> scenarios.</w:t>
      </w:r>
    </w:p>
    <w:p w14:paraId="3EE6AA67" w14:textId="77840E2C" w:rsidR="008E67D2" w:rsidRPr="008E67D2" w:rsidRDefault="008E67D2" w:rsidP="008E67D2">
      <w:pPr>
        <w:pStyle w:val="ListParagraph"/>
        <w:numPr>
          <w:ilvl w:val="0"/>
          <w:numId w:val="13"/>
        </w:numPr>
        <w:rPr>
          <w:b/>
          <w:sz w:val="20"/>
          <w:szCs w:val="20"/>
        </w:rPr>
      </w:pPr>
      <w:r w:rsidRPr="009A2790">
        <w:rPr>
          <w:b/>
          <w:sz w:val="20"/>
          <w:szCs w:val="20"/>
        </w:rPr>
        <w:t xml:space="preserve">Combination of supported source and target frequencies depend on UE’s band combination capabilities.  </w:t>
      </w:r>
    </w:p>
    <w:p w14:paraId="14175B3A" w14:textId="5F138A53" w:rsidR="00F65FAD" w:rsidRDefault="00F65FAD" w:rsidP="00F65FAD">
      <w:pPr>
        <w:rPr>
          <w:lang w:val="en-US"/>
        </w:rPr>
      </w:pPr>
    </w:p>
    <w:p w14:paraId="3D7A608F" w14:textId="77777777" w:rsidR="00F65FAD" w:rsidRPr="00EA6369" w:rsidRDefault="00F65FAD" w:rsidP="00F65FAD">
      <w:pPr>
        <w:rPr>
          <w:b/>
        </w:rPr>
      </w:pPr>
      <w:r w:rsidRPr="00EA6369">
        <w:rPr>
          <w:b/>
        </w:rPr>
        <w:t>Observation 3. For F1 inter-frequency inter-band:</w:t>
      </w:r>
    </w:p>
    <w:p w14:paraId="1AD71AFA" w14:textId="77777777" w:rsidR="00F65FAD" w:rsidRPr="00EA6369" w:rsidRDefault="00F65FAD" w:rsidP="00F65FAD">
      <w:pPr>
        <w:pStyle w:val="ListParagraph"/>
        <w:numPr>
          <w:ilvl w:val="0"/>
          <w:numId w:val="14"/>
        </w:numPr>
        <w:rPr>
          <w:b/>
          <w:sz w:val="20"/>
        </w:rPr>
      </w:pPr>
      <w:r w:rsidRPr="00EA6369">
        <w:rPr>
          <w:b/>
          <w:sz w:val="20"/>
        </w:rPr>
        <w:t>For synchronous scenarios, simultaneous Rx is feasible for DLCA capable UE’s with separate Rx chains and different or same SCS between source and target cells.</w:t>
      </w:r>
    </w:p>
    <w:p w14:paraId="4932B82B" w14:textId="77777777" w:rsidR="00F65FAD" w:rsidRPr="00EA6369" w:rsidRDefault="00F65FAD" w:rsidP="00F65FAD">
      <w:pPr>
        <w:pStyle w:val="ListParagraph"/>
        <w:numPr>
          <w:ilvl w:val="0"/>
          <w:numId w:val="14"/>
        </w:numPr>
        <w:rPr>
          <w:b/>
          <w:sz w:val="20"/>
        </w:rPr>
      </w:pPr>
      <w:r w:rsidRPr="00EA6369">
        <w:rPr>
          <w:b/>
          <w:sz w:val="20"/>
        </w:rPr>
        <w:t>For asynchronous scenarios, simultaneous Rx is feasible for DC capable UE’s with separate Rx chains and different or same SCS between source and target cells.</w:t>
      </w:r>
    </w:p>
    <w:p w14:paraId="39D0312C" w14:textId="77777777" w:rsidR="00F65FAD" w:rsidRPr="00EA6369" w:rsidRDefault="00F65FAD" w:rsidP="00F65FAD">
      <w:pPr>
        <w:pStyle w:val="ListParagraph"/>
        <w:numPr>
          <w:ilvl w:val="0"/>
          <w:numId w:val="14"/>
        </w:numPr>
        <w:rPr>
          <w:b/>
          <w:sz w:val="20"/>
        </w:rPr>
      </w:pPr>
      <w:r w:rsidRPr="00EA6369">
        <w:rPr>
          <w:b/>
          <w:sz w:val="20"/>
        </w:rPr>
        <w:t xml:space="preserve">For synchronous scenarios, simultaneous Tx is feasible for </w:t>
      </w:r>
      <w:proofErr w:type="spellStart"/>
      <w:r w:rsidRPr="00EA6369">
        <w:rPr>
          <w:b/>
          <w:sz w:val="20"/>
        </w:rPr>
        <w:t>ULCA+mTAG</w:t>
      </w:r>
      <w:proofErr w:type="spellEnd"/>
      <w:r w:rsidRPr="00EA6369">
        <w:rPr>
          <w:b/>
          <w:sz w:val="20"/>
        </w:rPr>
        <w:t xml:space="preserve"> capable UE’s with separate Tx chains and different or same SCS between source and target cells.</w:t>
      </w:r>
    </w:p>
    <w:p w14:paraId="02FB3FE0" w14:textId="2020B648" w:rsidR="00F65FAD" w:rsidRDefault="00F65FAD" w:rsidP="00F65FAD">
      <w:pPr>
        <w:pStyle w:val="ListParagraph"/>
        <w:numPr>
          <w:ilvl w:val="0"/>
          <w:numId w:val="14"/>
        </w:numPr>
        <w:rPr>
          <w:b/>
          <w:sz w:val="20"/>
        </w:rPr>
      </w:pPr>
      <w:r w:rsidRPr="00EA6369">
        <w:rPr>
          <w:b/>
          <w:sz w:val="20"/>
        </w:rPr>
        <w:t xml:space="preserve">For asynchronous scenarios, simultaneous Tx is feasible for DC capable UE’s. </w:t>
      </w:r>
    </w:p>
    <w:p w14:paraId="21FDAB38" w14:textId="0A2149CE" w:rsidR="008E67D2" w:rsidRPr="008E67D2" w:rsidRDefault="008E67D2" w:rsidP="008E67D2">
      <w:pPr>
        <w:pStyle w:val="ListParagraph"/>
        <w:numPr>
          <w:ilvl w:val="0"/>
          <w:numId w:val="14"/>
        </w:numPr>
        <w:rPr>
          <w:b/>
          <w:sz w:val="20"/>
          <w:szCs w:val="20"/>
        </w:rPr>
      </w:pPr>
      <w:r w:rsidRPr="009A2790">
        <w:rPr>
          <w:b/>
          <w:sz w:val="20"/>
          <w:szCs w:val="20"/>
        </w:rPr>
        <w:t xml:space="preserve">Combination of supported source and target frequencies depend on UE’s band combination capabilities.  </w:t>
      </w:r>
    </w:p>
    <w:p w14:paraId="0BAE6C38" w14:textId="77777777" w:rsidR="00F65FAD" w:rsidRPr="00F65FAD" w:rsidRDefault="00F65FAD" w:rsidP="00F65FAD">
      <w:pPr>
        <w:rPr>
          <w:lang w:val="en-US"/>
        </w:rPr>
      </w:pPr>
    </w:p>
    <w:p w14:paraId="564B02F5" w14:textId="77777777" w:rsidR="00B67665" w:rsidRPr="00093438" w:rsidRDefault="00B67665" w:rsidP="00B67665">
      <w:pPr>
        <w:rPr>
          <w:b/>
        </w:rPr>
      </w:pPr>
      <w:r w:rsidRPr="00093438">
        <w:rPr>
          <w:b/>
        </w:rPr>
        <w:t>Observation 4. For FR2 inter-frequency intra-band or intra-frequency:</w:t>
      </w:r>
    </w:p>
    <w:p w14:paraId="16BD57F5" w14:textId="77777777" w:rsidR="00B67665" w:rsidRDefault="00B67665" w:rsidP="00B67665">
      <w:pPr>
        <w:pStyle w:val="ListParagraph"/>
        <w:numPr>
          <w:ilvl w:val="0"/>
          <w:numId w:val="15"/>
        </w:numPr>
        <w:rPr>
          <w:b/>
          <w:sz w:val="20"/>
          <w:szCs w:val="20"/>
        </w:rPr>
      </w:pPr>
      <w:r w:rsidRPr="00093438">
        <w:rPr>
          <w:b/>
          <w:sz w:val="20"/>
          <w:szCs w:val="20"/>
        </w:rPr>
        <w:t>Synchronous deployment is assumed</w:t>
      </w:r>
      <w:r>
        <w:rPr>
          <w:b/>
          <w:sz w:val="20"/>
          <w:szCs w:val="20"/>
        </w:rPr>
        <w:t xml:space="preserve">. </w:t>
      </w:r>
    </w:p>
    <w:p w14:paraId="78E41B81" w14:textId="77777777" w:rsidR="00B67665" w:rsidRPr="00B67665" w:rsidRDefault="00B67665" w:rsidP="00B67665">
      <w:pPr>
        <w:pStyle w:val="ListParagraph"/>
        <w:numPr>
          <w:ilvl w:val="0"/>
          <w:numId w:val="15"/>
        </w:numPr>
        <w:rPr>
          <w:b/>
          <w:sz w:val="20"/>
          <w:szCs w:val="20"/>
        </w:rPr>
      </w:pPr>
      <w:r w:rsidRPr="00B67665">
        <w:rPr>
          <w:b/>
          <w:sz w:val="20"/>
          <w:szCs w:val="20"/>
        </w:rPr>
        <w:t>Different numerology between source and target cells is not of practical consideration.</w:t>
      </w:r>
    </w:p>
    <w:p w14:paraId="62002B55" w14:textId="77777777" w:rsidR="00B67665" w:rsidRPr="00B67665" w:rsidRDefault="00B67665" w:rsidP="00B67665">
      <w:pPr>
        <w:pStyle w:val="ListParagraph"/>
        <w:numPr>
          <w:ilvl w:val="0"/>
          <w:numId w:val="15"/>
        </w:numPr>
        <w:contextualSpacing w:val="0"/>
        <w:rPr>
          <w:b/>
          <w:sz w:val="20"/>
          <w:szCs w:val="20"/>
        </w:rPr>
      </w:pPr>
      <w:r w:rsidRPr="00B67665">
        <w:rPr>
          <w:b/>
          <w:sz w:val="20"/>
          <w:szCs w:val="20"/>
        </w:rPr>
        <w:lastRenderedPageBreak/>
        <w:t>Simultaneous Rx is possible for UE w/ separate Rx chains and Rel.16 multi-TRP capability</w:t>
      </w:r>
    </w:p>
    <w:p w14:paraId="3B8B454E" w14:textId="77777777" w:rsidR="00B67665" w:rsidRPr="00B67665" w:rsidRDefault="00B67665" w:rsidP="00B67665">
      <w:pPr>
        <w:pStyle w:val="ListParagraph"/>
        <w:numPr>
          <w:ilvl w:val="0"/>
          <w:numId w:val="15"/>
        </w:numPr>
        <w:contextualSpacing w:val="0"/>
        <w:rPr>
          <w:b/>
          <w:sz w:val="20"/>
          <w:szCs w:val="20"/>
        </w:rPr>
      </w:pPr>
      <w:r w:rsidRPr="00B67665">
        <w:rPr>
          <w:b/>
          <w:sz w:val="20"/>
          <w:szCs w:val="20"/>
        </w:rPr>
        <w:t>Simultaneous Tx is under discussion in RAN1</w:t>
      </w:r>
    </w:p>
    <w:p w14:paraId="5375FED0" w14:textId="77777777" w:rsidR="00C51EC1" w:rsidRPr="00C51EC1" w:rsidRDefault="00C51EC1" w:rsidP="00C51EC1">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2C8D945" w14:textId="61B7CCA8" w:rsidR="00527277" w:rsidRDefault="00690DA5" w:rsidP="00797CE5">
      <w:r>
        <w:rPr>
          <w:lang w:val="en-US"/>
        </w:rPr>
        <w:t>[</w:t>
      </w:r>
      <w:r w:rsidR="00AD782A">
        <w:rPr>
          <w:lang w:val="en-US"/>
        </w:rPr>
        <w:t>1</w:t>
      </w:r>
      <w:r w:rsidR="007820D6">
        <w:rPr>
          <w:lang w:val="en-US"/>
        </w:rPr>
        <w:t>]</w:t>
      </w:r>
      <w:r w:rsidR="00FC580D">
        <w:t xml:space="preserve"> </w:t>
      </w:r>
      <w:r w:rsidR="00131E99">
        <w:t>R4-</w:t>
      </w:r>
      <w:r w:rsidR="00111DA9">
        <w:t>1902547</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A463" w14:textId="77777777" w:rsidR="00E01437" w:rsidRDefault="00E01437">
      <w:r>
        <w:separator/>
      </w:r>
    </w:p>
  </w:endnote>
  <w:endnote w:type="continuationSeparator" w:id="0">
    <w:p w14:paraId="65557329" w14:textId="77777777" w:rsidR="00E01437" w:rsidRDefault="00E0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386AD" w14:textId="77777777" w:rsidR="00E01437" w:rsidRDefault="00E01437">
      <w:r>
        <w:separator/>
      </w:r>
    </w:p>
  </w:footnote>
  <w:footnote w:type="continuationSeparator" w:id="0">
    <w:p w14:paraId="1D80864B" w14:textId="77777777" w:rsidR="00E01437" w:rsidRDefault="00E01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36075"/>
    <w:multiLevelType w:val="hybridMultilevel"/>
    <w:tmpl w:val="4358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5"/>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5"/>
  </w:num>
  <w:num w:numId="8">
    <w:abstractNumId w:val="4"/>
  </w:num>
  <w:num w:numId="9">
    <w:abstractNumId w:val="11"/>
  </w:num>
  <w:num w:numId="10">
    <w:abstractNumId w:val="3"/>
  </w:num>
  <w:num w:numId="11">
    <w:abstractNumId w:val="12"/>
  </w:num>
  <w:num w:numId="12">
    <w:abstractNumId w:val="7"/>
  </w:num>
  <w:num w:numId="13">
    <w:abstractNumId w:val="2"/>
  </w:num>
  <w:num w:numId="14">
    <w:abstractNumId w:val="13"/>
  </w:num>
  <w:num w:numId="15">
    <w:abstractNumId w:val="10"/>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438"/>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00D"/>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DA9"/>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0E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36"/>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4A"/>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DD5"/>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7F"/>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DF7"/>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8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646"/>
    <w:rsid w:val="005C1734"/>
    <w:rsid w:val="005C180C"/>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272"/>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00"/>
    <w:rsid w:val="007A7B5D"/>
    <w:rsid w:val="007A7BCA"/>
    <w:rsid w:val="007A7F3A"/>
    <w:rsid w:val="007A7F9E"/>
    <w:rsid w:val="007B0288"/>
    <w:rsid w:val="007B02A3"/>
    <w:rsid w:val="007B0317"/>
    <w:rsid w:val="007B0628"/>
    <w:rsid w:val="007B0655"/>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72C"/>
    <w:rsid w:val="0084182C"/>
    <w:rsid w:val="00841A53"/>
    <w:rsid w:val="00842D4C"/>
    <w:rsid w:val="008432F4"/>
    <w:rsid w:val="008435C1"/>
    <w:rsid w:val="008436E7"/>
    <w:rsid w:val="0084379E"/>
    <w:rsid w:val="00843AD9"/>
    <w:rsid w:val="00843BF9"/>
    <w:rsid w:val="00844161"/>
    <w:rsid w:val="008445B9"/>
    <w:rsid w:val="008446E9"/>
    <w:rsid w:val="008447A6"/>
    <w:rsid w:val="008450B4"/>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4B5"/>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7D2"/>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A9B"/>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5DF2"/>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790"/>
    <w:rsid w:val="009A2A73"/>
    <w:rsid w:val="009A373F"/>
    <w:rsid w:val="009A43D3"/>
    <w:rsid w:val="009A4601"/>
    <w:rsid w:val="009A4651"/>
    <w:rsid w:val="009A48D6"/>
    <w:rsid w:val="009A49A2"/>
    <w:rsid w:val="009A4C42"/>
    <w:rsid w:val="009A4D02"/>
    <w:rsid w:val="009A5305"/>
    <w:rsid w:val="009A5360"/>
    <w:rsid w:val="009A5693"/>
    <w:rsid w:val="009A59C2"/>
    <w:rsid w:val="009A5B72"/>
    <w:rsid w:val="009A5CB7"/>
    <w:rsid w:val="009A5F5C"/>
    <w:rsid w:val="009A5F68"/>
    <w:rsid w:val="009A62C4"/>
    <w:rsid w:val="009A6824"/>
    <w:rsid w:val="009A7536"/>
    <w:rsid w:val="009A75D6"/>
    <w:rsid w:val="009A76EF"/>
    <w:rsid w:val="009A7B85"/>
    <w:rsid w:val="009A7F26"/>
    <w:rsid w:val="009B04FC"/>
    <w:rsid w:val="009B0627"/>
    <w:rsid w:val="009B08EE"/>
    <w:rsid w:val="009B0BE2"/>
    <w:rsid w:val="009B0C75"/>
    <w:rsid w:val="009B1343"/>
    <w:rsid w:val="009B138A"/>
    <w:rsid w:val="009B167F"/>
    <w:rsid w:val="009B1759"/>
    <w:rsid w:val="009B17EC"/>
    <w:rsid w:val="009B18FD"/>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51"/>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B5C"/>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2C1"/>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21A"/>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665"/>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4F"/>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734"/>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B03"/>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30"/>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18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7C4"/>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2A1"/>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437"/>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2D8E"/>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409"/>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69"/>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B7E"/>
    <w:rsid w:val="00EE622E"/>
    <w:rsid w:val="00EE6630"/>
    <w:rsid w:val="00EE6981"/>
    <w:rsid w:val="00EE6C0A"/>
    <w:rsid w:val="00EE6E68"/>
    <w:rsid w:val="00EE7336"/>
    <w:rsid w:val="00EE7592"/>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CC3"/>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A6D"/>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5FA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653"/>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B67665"/>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B4FDF-1C98-4D4D-B6E3-2E686BBD1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2206</TotalTime>
  <Pages>5</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26</cp:revision>
  <cp:lastPrinted>2009-04-22T21:01:00Z</cp:lastPrinted>
  <dcterms:created xsi:type="dcterms:W3CDTF">2019-03-25T00:06:00Z</dcterms:created>
  <dcterms:modified xsi:type="dcterms:W3CDTF">2019-04-01T15:37:00Z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